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themeColor="text1"/>
          <w:sz w:val="84"/>
          <w:highlight w:val="none"/>
          <w14:textFill>
            <w14:solidFill>
              <w14:schemeClr w14:val="tx1"/>
            </w14:solidFill>
          </w14:textFill>
        </w:rPr>
      </w:pPr>
      <w:bookmarkStart w:id="9" w:name="_GoBack"/>
    </w:p>
    <w:p>
      <w:pPr>
        <w:ind w:right="105"/>
        <w:jc w:val="right"/>
        <w:rPr>
          <w:rFonts w:hint="eastAsia" w:eastAsia="黑体"/>
          <w:b/>
          <w:color w:val="000000" w:themeColor="text1"/>
          <w:spacing w:val="40"/>
          <w:w w:val="66"/>
          <w:sz w:val="60"/>
          <w:szCs w:val="60"/>
          <w:highlight w:val="none"/>
          <w:lang w:eastAsia="zh-CN"/>
          <w14:textFill>
            <w14:solidFill>
              <w14:schemeClr w14:val="tx1"/>
            </w14:solidFill>
          </w14:textFill>
        </w:rPr>
      </w:pPr>
      <w:r>
        <w:rPr>
          <w:rFonts w:eastAsia="黑体"/>
          <w:b/>
          <w:color w:val="000000" w:themeColor="text1"/>
          <w:spacing w:val="40"/>
          <w:w w:val="66"/>
          <w:sz w:val="60"/>
          <w:szCs w:val="60"/>
          <w:highlight w:val="none"/>
          <w14:textFill>
            <w14:solidFill>
              <w14:schemeClr w14:val="tx1"/>
            </w14:solidFill>
          </w14:textFill>
        </w:rPr>
        <w:t xml:space="preserve"> </w:t>
      </w:r>
      <w:r>
        <w:rPr>
          <w:rFonts w:hint="eastAsia" w:eastAsia="黑体"/>
          <w:b/>
          <w:color w:val="000000" w:themeColor="text1"/>
          <w:spacing w:val="40"/>
          <w:w w:val="66"/>
          <w:sz w:val="60"/>
          <w:szCs w:val="60"/>
          <w:highlight w:val="none"/>
          <w:lang w:eastAsia="zh-CN"/>
          <w14:textFill>
            <w14:solidFill>
              <w14:schemeClr w14:val="tx1"/>
            </w14:solidFill>
          </w14:textFill>
        </w:rPr>
        <w:t>天津市职工疗休养中心（天津市职工医院、天津市北戴河工人疗养院）北戴河院区消防设备更新与迁移工程项目</w:t>
      </w:r>
    </w:p>
    <w:p>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323850</wp:posOffset>
                </wp:positionV>
                <wp:extent cx="2724150" cy="0"/>
                <wp:effectExtent l="0" t="95250" r="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25.5pt;height:0pt;width:214.5pt;z-index:251659264;mso-width-relative:page;mso-height-relative:page;" filled="f" stroked="t" coordsize="21600,21600" o:gfxdata="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0ertbV&#10;AAAACAEAAA8AAAAAAAAAAQAgAAAAIgAAAGRycy9kb3ducmV2LnhtbFBLAQIUABQAAAAIAIdO4kDn&#10;WjDf6gEAAKwDAAAOAAAAAAAAAAEAIAAAACQBAABkcnMvZTJvRG9jLnhtbFBLBQYAAAAABgAGAFkB&#10;AACABQ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竞争性磋商文件</w:t>
      </w:r>
    </w:p>
    <w:p>
      <w:pPr>
        <w:ind w:right="1025"/>
        <w:jc w:val="center"/>
        <w:rPr>
          <w:rFonts w:eastAsia="黑体"/>
          <w:b/>
          <w:color w:val="000000" w:themeColor="text1"/>
          <w:spacing w:val="40"/>
          <w:w w:val="66"/>
          <w:sz w:val="60"/>
          <w:szCs w:val="60"/>
          <w:highlight w:val="none"/>
          <w14:textFill>
            <w14:solidFill>
              <w14:schemeClr w14:val="tx1"/>
            </w14:solidFill>
          </w14:textFill>
        </w:rPr>
      </w:pPr>
    </w:p>
    <w:p>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TGPC-2024-C-0002</w:t>
      </w:r>
      <w:r>
        <w:rPr>
          <w:rFonts w:eastAsia="黑体"/>
          <w:color w:val="000000" w:themeColor="text1"/>
          <w:spacing w:val="40"/>
          <w:w w:val="66"/>
          <w:sz w:val="32"/>
          <w:szCs w:val="32"/>
          <w:highlight w:val="none"/>
          <w14:textFill>
            <w14:solidFill>
              <w14:schemeClr w14:val="tx1"/>
            </w14:solidFill>
          </w14:textFill>
        </w:rPr>
        <w:t>）</w:t>
      </w:r>
    </w:p>
    <w:p>
      <w:pPr>
        <w:rPr>
          <w:color w:val="000000" w:themeColor="text1"/>
          <w:sz w:val="40"/>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pPr>
        <w:tabs>
          <w:tab w:val="left" w:pos="3281"/>
          <w:tab w:val="center" w:pos="4711"/>
        </w:tabs>
        <w:jc w:val="center"/>
        <w:rPr>
          <w:rFonts w:hint="eastAsia" w:eastAsia="仿宋_GB2312"/>
          <w:b/>
          <w:bCs/>
          <w:color w:val="000000" w:themeColor="text1"/>
          <w:kern w:val="0"/>
          <w:sz w:val="44"/>
          <w:szCs w:val="44"/>
          <w:highlight w:val="none"/>
          <w:lang w:val="en-US" w:eastAsia="zh-CN"/>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2</w:t>
      </w:r>
    </w:p>
    <w:p>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p>
    <w:p>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headerReference r:id="rId3" w:type="default"/>
          <w:pgSz w:w="11906" w:h="16838"/>
          <w:pgMar w:top="1440" w:right="1797" w:bottom="1440" w:left="1797" w:header="851" w:footer="992" w:gutter="0"/>
          <w:cols w:space="720" w:num="1"/>
          <w:docGrid w:type="linesAndChars" w:linePitch="285" w:charSpace="-3449"/>
        </w:sectPr>
      </w:pPr>
    </w:p>
    <w:p>
      <w:pPr>
        <w:tabs>
          <w:tab w:val="left" w:pos="3281"/>
          <w:tab w:val="center" w:pos="4711"/>
        </w:tabs>
        <w:jc w:val="center"/>
        <w:rPr>
          <w:b/>
          <w:bCs/>
          <w:color w:val="000000" w:themeColor="text1"/>
          <w:spacing w:val="20"/>
          <w:w w:val="66"/>
          <w:sz w:val="36"/>
          <w:szCs w:val="32"/>
          <w:highlight w:val="none"/>
          <w14:textFill>
            <w14:solidFill>
              <w14:schemeClr w14:val="tx1"/>
            </w14:solidFill>
          </w14:textFill>
        </w:rPr>
      </w:pPr>
      <w:r>
        <w:rPr>
          <w:b/>
          <w:bCs/>
          <w:color w:val="000000" w:themeColor="text1"/>
          <w:spacing w:val="20"/>
          <w:w w:val="66"/>
          <w:sz w:val="36"/>
          <w:szCs w:val="32"/>
          <w:highlight w:val="none"/>
          <w14:textFill>
            <w14:solidFill>
              <w14:schemeClr w14:val="tx1"/>
            </w14:solidFill>
          </w14:textFill>
        </w:rPr>
        <w:t>目  录</w:t>
      </w:r>
    </w:p>
    <w:p>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第一部分  磋商邀请函</w:t>
      </w:r>
    </w:p>
    <w:p>
      <w:pPr>
        <w:rPr>
          <w:color w:val="000000" w:themeColor="text1"/>
          <w:highlight w:val="none"/>
          <w14:textFill>
            <w14:solidFill>
              <w14:schemeClr w14:val="tx1"/>
            </w14:solidFill>
          </w14:textFill>
        </w:rPr>
      </w:pPr>
    </w:p>
    <w:p>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第二部分  磋商项目要求</w:t>
      </w:r>
    </w:p>
    <w:p>
      <w:pPr>
        <w:rPr>
          <w:color w:val="000000" w:themeColor="text1"/>
          <w:highlight w:val="none"/>
          <w14:textFill>
            <w14:solidFill>
              <w14:schemeClr w14:val="tx1"/>
            </w14:solidFill>
          </w14:textFill>
        </w:rPr>
      </w:pPr>
    </w:p>
    <w:p>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第三部分  供应商须知</w:t>
      </w:r>
    </w:p>
    <w:p>
      <w:pPr>
        <w:rPr>
          <w:color w:val="000000" w:themeColor="text1"/>
          <w:highlight w:val="none"/>
          <w14:textFill>
            <w14:solidFill>
              <w14:schemeClr w14:val="tx1"/>
            </w14:solidFill>
          </w14:textFill>
        </w:rPr>
      </w:pPr>
    </w:p>
    <w:p>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第四部分  合同草案</w:t>
      </w:r>
    </w:p>
    <w:p>
      <w:pPr>
        <w:rPr>
          <w:color w:val="000000" w:themeColor="text1"/>
          <w:highlight w:val="none"/>
          <w14:textFill>
            <w14:solidFill>
              <w14:schemeClr w14:val="tx1"/>
            </w14:solidFill>
          </w14:textFill>
        </w:rPr>
      </w:pPr>
    </w:p>
    <w:p>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第五部分  响应文件格式</w:t>
      </w:r>
    </w:p>
    <w:p>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pPr>
    </w:p>
    <w:p>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pgSz w:w="11906" w:h="16838"/>
          <w:pgMar w:top="1440" w:right="1797" w:bottom="1440" w:left="1797" w:header="851" w:footer="992" w:gutter="0"/>
          <w:cols w:space="720" w:num="1"/>
          <w:docGrid w:type="linesAndChars" w:linePitch="285" w:charSpace="-3449"/>
        </w:sectPr>
      </w:pPr>
    </w:p>
    <w:p>
      <w:pPr>
        <w:pStyle w:val="12"/>
        <w:rPr>
          <w:rFonts w:ascii="Times New Roman" w:hAnsi="Times New Roman"/>
          <w:color w:val="000000" w:themeColor="text1"/>
          <w:highlight w:val="none"/>
          <w14:textFill>
            <w14:solidFill>
              <w14:schemeClr w14:val="tx1"/>
            </w14:solidFill>
          </w14:textFill>
        </w:rPr>
      </w:pPr>
      <w:bookmarkStart w:id="0" w:name="_Toc411426748"/>
      <w:bookmarkStart w:id="1" w:name="_Toc411426750"/>
      <w:r>
        <w:rPr>
          <w:rFonts w:ascii="Times New Roman" w:hAnsi="Times New Roman"/>
          <w:color w:val="000000" w:themeColor="text1"/>
          <w:highlight w:val="none"/>
          <w14:textFill>
            <w14:solidFill>
              <w14:schemeClr w14:val="tx1"/>
            </w14:solidFill>
          </w14:textFill>
        </w:rPr>
        <w:t>第一部分  磋商邀请函</w:t>
      </w:r>
      <w:bookmarkEnd w:id="0"/>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bookmarkStart w:id="2" w:name="_Toc411426749"/>
      <w:r>
        <w:rPr>
          <w:rFonts w:ascii="Times New Roman" w:hAnsi="Times New Roman" w:eastAsia="宋体" w:cs="Times New Roman"/>
          <w:color w:val="000000" w:themeColor="text1"/>
          <w:kern w:val="2"/>
          <w:highlight w:val="none"/>
          <w14:textFill>
            <w14:solidFill>
              <w14:schemeClr w14:val="tx1"/>
            </w14:solidFill>
          </w14:textFill>
        </w:rPr>
        <w:t>受</w:t>
      </w:r>
      <w:r>
        <w:rPr>
          <w:rFonts w:hint="eastAsia" w:ascii="Times New Roman" w:hAnsi="Times New Roman" w:cs="Times New Roman" w:eastAsiaTheme="minorEastAsia"/>
          <w:color w:val="000000" w:themeColor="text1"/>
          <w:szCs w:val="32"/>
          <w:highlight w:val="none"/>
          <w14:textFill>
            <w14:solidFill>
              <w14:schemeClr w14:val="tx1"/>
            </w14:solidFill>
          </w14:textFill>
        </w:rPr>
        <w:t>天津市职工疗休养中心（天津市职工医院、天津市北戴河工人疗养院）</w:t>
      </w:r>
      <w:r>
        <w:rPr>
          <w:rFonts w:ascii="Times New Roman" w:hAnsi="Times New Roman" w:eastAsia="宋体" w:cs="Times New Roman"/>
          <w:color w:val="000000" w:themeColor="text1"/>
          <w:kern w:val="2"/>
          <w:highlight w:val="none"/>
          <w14:textFill>
            <w14:solidFill>
              <w14:schemeClr w14:val="tx1"/>
            </w14:solidFill>
          </w14:textFill>
        </w:rPr>
        <w:t>委托，天津市政府采购中心将以竞争性磋商方式，对</w:t>
      </w:r>
      <w:r>
        <w:rPr>
          <w:rFonts w:hint="eastAsia" w:ascii="Times New Roman" w:hAnsi="Times New Roman" w:eastAsia="宋体" w:cs="Times New Roman"/>
          <w:color w:val="000000" w:themeColor="text1"/>
          <w:kern w:val="2"/>
          <w:highlight w:val="none"/>
          <w:lang w:eastAsia="zh-CN"/>
          <w14:textFill>
            <w14:solidFill>
              <w14:schemeClr w14:val="tx1"/>
            </w14:solidFill>
          </w14:textFill>
        </w:rPr>
        <w:t>天津市职工疗休养中心（天津市职工医院、天津市北戴河工人疗养院）北戴河院区消防设备更新与迁移工程项目</w:t>
      </w:r>
      <w:r>
        <w:rPr>
          <w:rFonts w:ascii="Times New Roman" w:hAnsi="Times New Roman" w:eastAsia="宋体" w:cs="Times New Roman"/>
          <w:color w:val="000000" w:themeColor="text1"/>
          <w:kern w:val="2"/>
          <w:highlight w:val="none"/>
          <w14:textFill>
            <w14:solidFill>
              <w14:schemeClr w14:val="tx1"/>
            </w14:solidFill>
          </w14:textFill>
        </w:rPr>
        <w:t>实施采购。现欢迎合格的供应商参加磋商。</w:t>
      </w:r>
    </w:p>
    <w:p>
      <w:pPr>
        <w:pStyle w:val="27"/>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ascii="Times New Roman" w:hAnsi="Times New Roman" w:eastAsia="宋体" w:cs="Times New Roman"/>
          <w:color w:val="000000" w:themeColor="text1"/>
          <w:szCs w:val="32"/>
          <w:highlight w:val="none"/>
          <w14:textFill>
            <w14:solidFill>
              <w14:schemeClr w14:val="tx1"/>
            </w14:solidFill>
          </w14:textFill>
        </w:rPr>
        <w:t>本项目为远程招投标，一律不接受纸质响应文件，只接受加盖投标人电子签章的PDF格式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PDF格式电子响应文件（以通过天津公共资源电子签章客户端正确读取签章信息为准）。</w:t>
      </w:r>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一、项目名称和编号</w:t>
      </w:r>
    </w:p>
    <w:p>
      <w:pPr>
        <w:pStyle w:val="27"/>
        <w:spacing w:line="360" w:lineRule="auto"/>
        <w:ind w:firstLine="480" w:firstLineChars="200"/>
        <w:jc w:val="both"/>
        <w:rPr>
          <w:rFonts w:hint="eastAsia" w:ascii="Times New Roman" w:hAnsi="Times New Roman" w:eastAsia="宋体" w:cs="Times New Roman"/>
          <w:color w:val="000000" w:themeColor="text1"/>
          <w:kern w:val="2"/>
          <w:highlight w:val="none"/>
          <w:lang w:eastAsia="zh-CN"/>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w:t>
      </w:r>
      <w:r>
        <w:rPr>
          <w:rFonts w:hint="eastAsia" w:ascii="Times New Roman" w:hAnsi="Times New Roman" w:cs="Times New Roman" w:eastAsiaTheme="minorEastAsia"/>
          <w:color w:val="000000" w:themeColor="text1"/>
          <w:szCs w:val="32"/>
          <w:highlight w:val="none"/>
          <w:lang w:eastAsia="zh-CN"/>
          <w14:textFill>
            <w14:solidFill>
              <w14:schemeClr w14:val="tx1"/>
            </w14:solidFill>
          </w14:textFill>
        </w:rPr>
        <w:t>天津市职工疗休养中心（天津市职工医院、天津市北戴河工人疗养院）北戴河院区消防设备更新与迁移工程项目</w:t>
      </w:r>
    </w:p>
    <w:p>
      <w:pPr>
        <w:pStyle w:val="27"/>
        <w:spacing w:line="360" w:lineRule="auto"/>
        <w:ind w:firstLine="480" w:firstLineChars="200"/>
        <w:jc w:val="both"/>
        <w:rPr>
          <w:rFonts w:hint="eastAsia"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（二）项目编号：</w:t>
      </w:r>
      <w:r>
        <w:rPr>
          <w:rFonts w:hint="eastAsia" w:ascii="Times New Roman" w:hAnsi="Times New Roman" w:eastAsia="宋体" w:cs="Times New Roman"/>
          <w:color w:val="000000" w:themeColor="text1"/>
          <w:kern w:val="2"/>
          <w:highlight w:val="none"/>
          <w14:textFill>
            <w14:solidFill>
              <w14:schemeClr w14:val="tx1"/>
            </w14:solidFill>
          </w14:textFill>
        </w:rPr>
        <w:t>TGPC-2024-C-0002</w:t>
      </w:r>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二、项目内容</w:t>
      </w:r>
    </w:p>
    <w:p>
      <w:pPr>
        <w:pStyle w:val="27"/>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cs="Times New Roman" w:eastAsiaTheme="minorEastAsia"/>
          <w:color w:val="000000" w:themeColor="text1"/>
          <w:szCs w:val="32"/>
          <w:highlight w:val="none"/>
          <w:lang w:eastAsia="zh-CN"/>
          <w14:textFill>
            <w14:solidFill>
              <w14:schemeClr w14:val="tx1"/>
            </w14:solidFill>
          </w14:textFill>
        </w:rPr>
        <w:t>消防设备更新与迁移工程</w:t>
      </w:r>
      <w:r>
        <w:rPr>
          <w:rFonts w:ascii="Times New Roman" w:hAnsi="Times New Roman" w:eastAsia="宋体" w:cs="Times New Roman"/>
          <w:color w:val="000000" w:themeColor="text1"/>
          <w:highlight w:val="none"/>
          <w14:textFill>
            <w14:solidFill>
              <w14:schemeClr w14:val="tx1"/>
            </w14:solidFill>
          </w14:textFill>
        </w:rPr>
        <w:t>，具体详见项目需求书。</w:t>
      </w:r>
      <w:r>
        <w:rPr>
          <w:rFonts w:hint="eastAsia" w:ascii="Times New Roman" w:hAnsi="Times New Roman" w:eastAsia="宋体" w:cs="Times New Roman"/>
          <w:color w:val="000000" w:themeColor="text1"/>
          <w:highlight w:val="none"/>
          <w14:textFill>
            <w14:solidFill>
              <w14:schemeClr w14:val="tx1"/>
            </w14:solidFill>
          </w14:textFill>
        </w:rPr>
        <w:t>合同签订后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0天内完工</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48</w:t>
      </w:r>
      <w:r>
        <w:rPr>
          <w:rFonts w:hint="eastAsia" w:ascii="Times New Roman" w:hAnsi="Times New Roman" w:eastAsia="宋体" w:cs="Times New Roman"/>
          <w:color w:val="000000" w:themeColor="text1"/>
          <w:highlight w:val="none"/>
          <w14:textFill>
            <w14:solidFill>
              <w14:schemeClr w14:val="tx1"/>
            </w14:solidFill>
          </w14:textFill>
        </w:rPr>
        <w:t>0000</w:t>
      </w:r>
      <w:r>
        <w:rPr>
          <w:rFonts w:ascii="Times New Roman" w:hAnsi="Times New Roman" w:eastAsia="宋体" w:cs="Times New Roman"/>
          <w:color w:val="000000" w:themeColor="text1"/>
          <w:highlight w:val="none"/>
          <w14:textFill>
            <w14:solidFill>
              <w14:schemeClr w14:val="tx1"/>
            </w14:solidFill>
          </w14:textFill>
        </w:rPr>
        <w:t>元。</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四、供应商资格要求（实质性要求）</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供应商应具备消防设施工程专业</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承包</w:t>
      </w:r>
      <w:r>
        <w:rPr>
          <w:rFonts w:hint="eastAsia" w:ascii="Times New Roman" w:hAnsi="Times New Roman" w:eastAsia="宋体" w:cs="Times New Roman"/>
          <w:color w:val="000000" w:themeColor="text1"/>
          <w:highlight w:val="none"/>
          <w14:textFill>
            <w14:solidFill>
              <w14:schemeClr w14:val="tx1"/>
            </w14:solidFill>
          </w14:textFill>
        </w:rPr>
        <w:t>二级及以上资质，提供资质证书原件扫描件</w:t>
      </w:r>
      <w:r>
        <w:rPr>
          <w:rFonts w:ascii="Times New Roman" w:hAnsi="Times New Roman" w:eastAsia="宋体" w:cs="Times New Roman"/>
          <w:color w:val="000000" w:themeColor="text1"/>
          <w:highlight w:val="none"/>
          <w14:textFill>
            <w14:solidFill>
              <w14:schemeClr w14:val="tx1"/>
            </w14:solidFill>
          </w14:textFill>
        </w:rPr>
        <w:t>。</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（二）供应商应具备有效期内的《安全生产许可证》，提供证书原件扫描件。</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s="Times New Roman"/>
          <w:color w:val="000000" w:themeColor="text1"/>
          <w:highlight w:val="none"/>
          <w14:textFill>
            <w14:solidFill>
              <w14:schemeClr w14:val="tx1"/>
            </w14:solidFill>
          </w14:textFill>
        </w:rPr>
        <w:t>负责本工程施工的项目经理应具备建设管理部门颁发的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机电工程专业注册建造师</w:t>
      </w:r>
      <w:r>
        <w:rPr>
          <w:rFonts w:hint="eastAsia" w:ascii="Times New Roman" w:hAnsi="Times New Roman" w:eastAsia="宋体" w:cs="Times New Roman"/>
          <w:color w:val="000000" w:themeColor="text1"/>
          <w:highlight w:val="none"/>
          <w14:textFill>
            <w14:solidFill>
              <w14:schemeClr w14:val="tx1"/>
            </w14:solidFill>
          </w14:textFill>
        </w:rPr>
        <w:t>，提供证书原件扫描件</w:t>
      </w:r>
      <w:r>
        <w:rPr>
          <w:rFonts w:ascii="Times New Roman" w:hAnsi="Times New Roman" w:eastAsia="宋体" w:cs="Times New Roman"/>
          <w:color w:val="000000" w:themeColor="text1"/>
          <w:highlight w:val="none"/>
          <w14:textFill>
            <w14:solidFill>
              <w14:schemeClr w14:val="tx1"/>
            </w14:solidFill>
          </w14:textFill>
        </w:rPr>
        <w:t>。</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（四）供应商应具备《中华人民共和国政府采购法》第二十二条第一款规定的条件，提供以下材料：</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财务状况报告等相关材料：</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A.经第三方会计师事务所审计的</w:t>
      </w:r>
      <w:r>
        <w:rPr>
          <w:rFonts w:hint="eastAsia" w:ascii="Times New Roman" w:hAnsi="Times New Roman" w:eastAsia="宋体" w:cs="Times New Roman"/>
          <w:color w:val="000000" w:themeColor="text1"/>
          <w:highlight w:val="none"/>
          <w14:textFill>
            <w14:solidFill>
              <w14:schemeClr w14:val="tx1"/>
            </w14:solidFill>
          </w14:textFill>
        </w:rPr>
        <w:t>2022年度或</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w:t>
      </w:r>
      <w:r>
        <w:rPr>
          <w:rFonts w:ascii="Times New Roman" w:hAnsi="Times New Roman" w:eastAsia="宋体" w:cs="Times New Roman"/>
          <w:color w:val="000000" w:themeColor="text1"/>
          <w:highlight w:val="none"/>
          <w14:textFill>
            <w14:solidFill>
              <w14:schemeClr w14:val="tx1"/>
            </w14:solidFill>
          </w14:textFill>
        </w:rPr>
        <w:t>财务报告扫描件。</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注：A、B两项提供任意一项均可。</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提交响应文件截止日前3年在经营活动中没有重大违法记录的书面声明（截至提交响应文件截止日成立不足3年的供应商可提供自成立以来无重大违法记录的书面声明）。</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（五）本项目不接受联合体参与磋商。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五、项目需要落实的政府采购政策</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3" w:name="OLE_LINK4"/>
      <w:r>
        <w:rPr>
          <w:rFonts w:ascii="Times New Roman" w:hAnsi="Times New Roman" w:eastAsia="宋体" w:cs="Times New Roman"/>
          <w:color w:val="000000" w:themeColor="text1"/>
          <w:highlight w:val="none"/>
          <w14:textFill>
            <w14:solidFill>
              <w14:schemeClr w14:val="tx1"/>
            </w14:solidFill>
          </w14:textFill>
        </w:rPr>
        <w:t>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六、获取竞争性磋商文件时间、方式</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（一）获取竞争性磋商文件的时间：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28</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日，</w:t>
      </w:r>
      <w:r>
        <w:rPr>
          <w:rFonts w:ascii="Times New Roman" w:hAnsi="Times New Roman" w:eastAsia="宋体" w:cs="Times New Roman"/>
          <w:color w:val="000000" w:themeColor="text1"/>
          <w:highlight w:val="none"/>
          <w14:textFill>
            <w14:solidFill>
              <w14:schemeClr w14:val="tx1"/>
            </w14:solidFill>
          </w14:textFill>
        </w:rPr>
        <w:t>每日9:00至17:00（北京时间，法定节假日除外）。</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（二）获取竞争性磋商文件的方式：</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获取竞争性磋商文件网址：使用天津数字认证有限公司发出的CA数字证书（原天津市电子认证中心发出尚在有效期内的CA数字证书仍可使用）登录天津市政府采购中心网（网址：</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ascii="Times New Roman" w:hAnsi="Times New Roman" w:eastAsia="宋体" w:cs="Times New Roman"/>
          <w:color w:val="000000" w:themeColor="text1"/>
          <w:highlight w:val="none"/>
          <w14:textFill>
            <w14:solidFill>
              <w14:schemeClr w14:val="tx1"/>
            </w14:solidFill>
          </w14:textFill>
        </w:rPr>
        <w:t>）-”网上招投标”-“供应商登录”-“市级集采机构入口”下载竞争性磋商文件。</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供应商注册、CA数字证书（USBKey）领取、电子签章办理办法：</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（1）天津市政府采购中心网注册：登录天津市政府采购中心网（http://tjgpc.zwfwb.tj.gov.cn）首页点击“供应商注册”，填写相关内容。天津市政府采购中心注册窗口联系电话：022-24538316。</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）CA数字证书（USBKey）领取及电子签章办理：参见天津市政府采购中心网（http://tjgpc.zwfwb.tj.gov.cn）--服务指南--供应商注册、领取CA数字证书（USBKey）及电子签章制章的流程。</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电子签章办理联系电话：022-24538</w:t>
      </w:r>
      <w:r>
        <w:rPr>
          <w:rFonts w:hint="eastAsia" w:ascii="Times New Roman" w:hAnsi="Times New Roman" w:eastAsia="宋体" w:cs="Times New Roman"/>
          <w:color w:val="000000" w:themeColor="text1"/>
          <w:highlight w:val="none"/>
          <w14:textFill>
            <w14:solidFill>
              <w14:schemeClr w14:val="tx1"/>
            </w14:solidFill>
          </w14:textFill>
        </w:rPr>
        <w:t>059</w:t>
      </w:r>
      <w:r>
        <w:rPr>
          <w:rFonts w:ascii="Times New Roman" w:hAnsi="Times New Roman" w:eastAsia="宋体" w:cs="Times New Roman"/>
          <w:color w:val="000000" w:themeColor="text1"/>
          <w:highlight w:val="none"/>
          <w14:textFill>
            <w14:solidFill>
              <w14:schemeClr w14:val="tx1"/>
            </w14:solidFill>
          </w14:textFill>
        </w:rPr>
        <w:t>。</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）本项目组织踏勘现场，时间地点安排如下：</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日9:30在</w:t>
      </w:r>
      <w:r>
        <w:rPr>
          <w:rFonts w:hint="eastAsia" w:ascii="Times New Roman" w:hAnsi="Times New Roman" w:eastAsia="宋体" w:cs="Times New Roman"/>
          <w:color w:val="000000" w:themeColor="text1"/>
          <w:highlight w:val="none"/>
          <w14:textFill>
            <w14:solidFill>
              <w14:schemeClr w14:val="tx1"/>
            </w14:solidFill>
          </w14:textFill>
        </w:rPr>
        <w:t>河北省秦皇岛市北戴河区东经路7号</w:t>
      </w:r>
      <w:r>
        <w:rPr>
          <w:rFonts w:ascii="Times New Roman" w:hAnsi="Times New Roman" w:eastAsia="宋体" w:cs="Times New Roman"/>
          <w:color w:val="000000" w:themeColor="text1"/>
          <w:highlight w:val="none"/>
          <w14:textFill>
            <w14:solidFill>
              <w14:schemeClr w14:val="tx1"/>
            </w14:solidFill>
          </w14:textFill>
        </w:rPr>
        <w:t>集合。联系人：</w:t>
      </w:r>
      <w:r>
        <w:rPr>
          <w:rFonts w:hint="eastAsia" w:ascii="Times New Roman" w:hAnsi="Times New Roman" w:eastAsia="宋体" w:cs="Times New Roman"/>
          <w:color w:val="000000" w:themeColor="text1"/>
          <w:highlight w:val="none"/>
          <w14:textFill>
            <w14:solidFill>
              <w14:schemeClr w14:val="tx1"/>
            </w14:solidFill>
          </w14:textFill>
        </w:rPr>
        <w:t>张振君</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联系电话：</w:t>
      </w:r>
      <w:r>
        <w:rPr>
          <w:rFonts w:hint="eastAsia" w:ascii="Times New Roman" w:hAnsi="Times New Roman" w:eastAsia="宋体" w:cs="Times New Roman"/>
          <w:color w:val="000000" w:themeColor="text1"/>
          <w:highlight w:val="none"/>
          <w14:textFill>
            <w14:solidFill>
              <w14:schemeClr w14:val="tx1"/>
            </w14:solidFill>
          </w14:textFill>
        </w:rPr>
        <w:t>13303351748</w:t>
      </w:r>
      <w:r>
        <w:rPr>
          <w:rFonts w:ascii="Times New Roman" w:hAnsi="Times New Roman" w:eastAsia="宋体" w:cs="Times New Roman"/>
          <w:color w:val="000000" w:themeColor="text1"/>
          <w:highlight w:val="none"/>
          <w14:textFill>
            <w14:solidFill>
              <w14:schemeClr w14:val="tx1"/>
            </w14:solidFill>
          </w14:textFill>
        </w:rPr>
        <w:t>。</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）本项目不</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组织</w:t>
      </w:r>
      <w:r>
        <w:rPr>
          <w:rFonts w:ascii="Times New Roman" w:hAnsi="Times New Roman" w:eastAsia="宋体" w:cs="Times New Roman"/>
          <w:color w:val="000000" w:themeColor="text1"/>
          <w:highlight w:val="none"/>
          <w14:textFill>
            <w14:solidFill>
              <w14:schemeClr w14:val="tx1"/>
            </w14:solidFill>
          </w14:textFill>
        </w:rPr>
        <w:t>标前答疑会。</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28</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日8:30，使用天津数字认证有限公司发出的CA数字证书（原天津市电子认证中心发出尚在有效期内的CA数字证书仍可使用）登陆天津市政府采购中心网（网址：http://tjgpc.zwfwb.tj.gov.cn）-”网上招投标”-“供应商登录”-“市级集采机构入口”进行应答并提交。</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八、提交电子响应文件截止时间及方式</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（一）提交电子响应文件截止时间：2024年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日8:30。提交电子响应文件截止时间前提交网上应答并分别上传加盖电子签章的第一、第二阶段电子响应文件（以通过天津公共资源电子签章客户端正确读取签章信息为准）方为有效响应。</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提交电子响应文件方式：本项目采用网上电子投标方式，投标人须于上述规定的时间使用天津数字认证有限公司发出的CA数字证书（原天津市电子认证中心发出尚在有效期内的CA数字证书仍可使用）登陆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九、解密时间、方式及磋商地点</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（一）第一阶段解密时间：2024年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日8:30至9:30完成第一阶段解密的方为有效响应。</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（二）第二阶段解密时间：通过第一阶段磋商的供应商在磋商小组要求的时间内（一般是磋商当日）完成第二阶段解密，否则视为放弃磋商。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解密方式：供应商须于上述规定时间内使用天津数字认证有限公司发出的CA数字证书（原天津市电子认证中心发出尚在有效期内的CA数字证书仍可使用）登陆天津市政府采购中心网（网址：http://tjgpc.zwfwb.tj.gov.cn）-”网上招投标”-“供应商登录”-“市级集采机构入口”完成解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（四）磋商地点：第一阶段解密后，磋商代表人须于天津市河东区红星路79号二楼天津市政府采购中心评审现场等候磋商。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十、采购代理机构名称、地址、联系人及联系方式</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（一）采购代理机构名称：天津市政府采购中心</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（二）采购代理机构地址：天津市河东区红星路79号二楼（邮编：300161）</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（四）网址：http://tjgpc.zwfwb.tj.gov.cn</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（五）对外办公时间：法定工作日9:00～12:00，14:00～17:00</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（六）咨询服务电话：</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022-24538316</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pPr>
        <w:pStyle w:val="27"/>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十一、采购人的名称、地址和联系方式</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天津市职工疗休养中心（天津市职工医院、天津市北戴河工人疗养院）</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河北省秦皇岛市北戴河区东经路7号</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王慧 </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14:textFill>
            <w14:solidFill>
              <w14:schemeClr w14:val="tx1"/>
            </w14:solidFill>
          </w14:textFill>
        </w:rPr>
        <w:t>0335-4287575</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十二、质疑方式</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供应商认为采购文件、采购过程和采购结果使自己的权益受到损害的，可以在知道或者应知其权益受到损害之日起七个工作日内，按照本项目采购文件第三部分《供应商须知》“8. 询问与质疑”的相关规定，以书面原件形式针对同一采购程序环节一次性提出质疑，否则不予受理。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采购人质疑受理：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天津市职工疗休养中心（天津市职工医院、天津市北戴河工人疗养院）</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河北省秦皇岛市北戴河区东经路7号</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王慧 </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14:textFill>
            <w14:solidFill>
              <w14:schemeClr w14:val="tx1"/>
            </w14:solidFill>
          </w14:textFill>
        </w:rPr>
        <w:t>0335-4287575</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十三、公告期限</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磋商公告的公告期限为3个工作日。</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十四、招标代理服务费</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本项目按以下比例向成交供应商收取招标代理服务费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成交金额（万元）</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1000-5000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5000-10000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10000-100000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0.05%</w:t>
            </w:r>
          </w:p>
        </w:tc>
      </w:tr>
    </w:tbl>
    <w:p>
      <w:pPr>
        <w:tabs>
          <w:tab w:val="left" w:pos="700"/>
        </w:tabs>
        <w:autoSpaceDE w:val="0"/>
        <w:autoSpaceDN w:val="0"/>
        <w:adjustRightIn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服务费按差额定率累进法计算，向下取整，精确到元。例如</w:t>
      </w:r>
      <w:r>
        <w:rPr>
          <w:color w:val="000000" w:themeColor="text1"/>
          <w:sz w:val="24"/>
          <w:highlight w:val="none"/>
          <w14:textFill>
            <w14:solidFill>
              <w14:schemeClr w14:val="tx1"/>
            </w14:solidFill>
          </w14:textFill>
        </w:rPr>
        <w:t>成交</w:t>
      </w:r>
      <w:r>
        <w:rPr>
          <w:color w:val="000000" w:themeColor="text1"/>
          <w:sz w:val="24"/>
          <w:highlight w:val="none"/>
          <w:lang w:val="zh-CN"/>
          <w14:textFill>
            <w14:solidFill>
              <w14:schemeClr w14:val="tx1"/>
            </w14:solidFill>
          </w14:textFill>
        </w:rPr>
        <w:t>金额为6805000元，服务费=1000000×1%+（5000000-1000000）×0.7%+（6805000-5000000）×0.55%=47927.5元，服务费缴纳47927元。其中成交金额以《成交通知书》为准。</w:t>
      </w:r>
    </w:p>
    <w:p>
      <w:pPr>
        <w:tabs>
          <w:tab w:val="left" w:pos="700"/>
        </w:tabs>
        <w:autoSpaceDE w:val="0"/>
        <w:autoSpaceDN w:val="0"/>
        <w:adjustRightInd w:val="0"/>
        <w:spacing w:line="360" w:lineRule="auto"/>
        <w:ind w:firstLine="480" w:firstLineChars="200"/>
        <w:rPr>
          <w:color w:val="000000" w:themeColor="text1"/>
          <w:sz w:val="24"/>
          <w:szCs w:val="24"/>
          <w:highlight w:val="none"/>
          <w:lang w:val="zh-CN"/>
          <w14:textFill>
            <w14:solidFill>
              <w14:schemeClr w14:val="tx1"/>
            </w14:solidFill>
          </w14:textFill>
        </w:rPr>
      </w:pPr>
      <w:r>
        <w:rPr>
          <w:color w:val="000000" w:themeColor="text1"/>
          <w:sz w:val="24"/>
          <w:szCs w:val="24"/>
          <w:highlight w:val="none"/>
          <w14:textFill>
            <w14:solidFill>
              <w14:schemeClr w14:val="tx1"/>
            </w14:solidFill>
          </w14:textFill>
        </w:rPr>
        <w:t>成交供应商应于成交公告发布之日起5个工作日内缴纳</w:t>
      </w:r>
      <w:r>
        <w:rPr>
          <w:color w:val="000000" w:themeColor="text1"/>
          <w:sz w:val="24"/>
          <w:szCs w:val="24"/>
          <w:highlight w:val="none"/>
          <w:lang w:val="zh-CN"/>
          <w14:textFill>
            <w14:solidFill>
              <w14:schemeClr w14:val="tx1"/>
            </w14:solidFill>
          </w14:textFill>
        </w:rPr>
        <w:t>招标代理服务费，缴费单位名称须与投标单位名称一致，缴费时请注明项目编号及成交包号。</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名        称：天津市公共资源交易中心</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pPr>
        <w:pStyle w:val="27"/>
        <w:spacing w:line="360" w:lineRule="auto"/>
        <w:ind w:firstLine="2152"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银行联行号：105110039436</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纳税人识别号：1212 0000 MB1E 44809C</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地址：天津市河东区红星路79号</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缴费及申请开票系统：http://www.tjggzy.cn/ztbxt</w:t>
      </w:r>
    </w:p>
    <w:p>
      <w:pPr>
        <w:pStyle w:val="27"/>
        <w:spacing w:line="360" w:lineRule="auto"/>
        <w:ind w:firstLine="480" w:firstLineChars="200"/>
        <w:jc w:val="both"/>
        <w:rPr>
          <w:rFonts w:ascii="Times New Roman" w:hAnsi="Times New Roman" w:eastAsia="宋体" w:cs="Times New Roman"/>
          <w:color w:val="000000" w:themeColor="text1"/>
          <w:kern w:val="2"/>
          <w:highlight w:val="none"/>
          <w:lang w:val="zh-CN"/>
          <w14:textFill>
            <w14:solidFill>
              <w14:schemeClr w14:val="tx1"/>
            </w14:solidFill>
          </w14:textFill>
        </w:rPr>
      </w:pPr>
      <w:r>
        <w:rPr>
          <w:rFonts w:ascii="Times New Roman" w:hAnsi="Times New Roman" w:eastAsia="宋体" w:cs="Times New Roman"/>
          <w:color w:val="000000" w:themeColor="text1"/>
          <w:kern w:val="2"/>
          <w:highlight w:val="none"/>
          <w:lang w:val="zh-CN"/>
          <w14:textFill>
            <w14:solidFill>
              <w14:schemeClr w14:val="tx1"/>
            </w14:solidFill>
          </w14:textFill>
        </w:rPr>
        <w:t>缴费及开票咨询电话：022-24532012</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27"/>
        <w:spacing w:line="360" w:lineRule="auto"/>
        <w:ind w:firstLine="6480" w:firstLineChars="27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2024年</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2</w:t>
      </w:r>
      <w:r>
        <w:rPr>
          <w:rFonts w:ascii="Times New Roman" w:hAnsi="Times New Roman" w:eastAsia="宋体" w:cs="Times New Roman"/>
          <w:color w:val="000000" w:themeColor="text1"/>
          <w:kern w:val="2"/>
          <w:highlight w:val="none"/>
          <w14:textFill>
            <w14:solidFill>
              <w14:schemeClr w14:val="tx1"/>
            </w14:solidFill>
          </w14:textFill>
        </w:rPr>
        <w:t>月</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28</w:t>
      </w:r>
      <w:r>
        <w:rPr>
          <w:rFonts w:ascii="Times New Roman" w:hAnsi="Times New Roman" w:eastAsia="宋体" w:cs="Times New Roman"/>
          <w:color w:val="000000" w:themeColor="text1"/>
          <w:kern w:val="2"/>
          <w:highlight w:val="none"/>
          <w14:textFill>
            <w14:solidFill>
              <w14:schemeClr w14:val="tx1"/>
            </w14:solidFill>
          </w14:textFill>
        </w:rPr>
        <w:t>日</w:t>
      </w:r>
    </w:p>
    <w:p>
      <w:pPr>
        <w:pStyle w:val="27"/>
        <w:spacing w:line="360" w:lineRule="auto"/>
        <w:jc w:val="both"/>
        <w:rPr>
          <w:rFonts w:ascii="Times New Roman" w:hAnsi="Times New Roman" w:eastAsia="宋体" w:cs="Times New Roman"/>
          <w:color w:val="000000" w:themeColor="text1"/>
          <w:kern w:val="2"/>
          <w:highlight w:val="none"/>
          <w14:textFill>
            <w14:solidFill>
              <w14:schemeClr w14:val="tx1"/>
            </w14:solidFill>
          </w14:textFill>
        </w:rPr>
      </w:pPr>
    </w:p>
    <w:p>
      <w:pPr>
        <w:pStyle w:val="27"/>
        <w:spacing w:line="360" w:lineRule="auto"/>
        <w:jc w:val="both"/>
        <w:rPr>
          <w:rFonts w:ascii="Times New Roman" w:hAnsi="Times New Roman" w:eastAsia="宋体" w:cs="Times New Roman"/>
          <w:color w:val="000000" w:themeColor="text1"/>
          <w:kern w:val="2"/>
          <w:highlight w:val="none"/>
          <w14:textFill>
            <w14:solidFill>
              <w14:schemeClr w14:val="tx1"/>
            </w14:solidFill>
          </w14:textFill>
        </w:rPr>
      </w:pPr>
    </w:p>
    <w:p>
      <w:pPr>
        <w:widowControl/>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第二部分  磋商项目要求</w:t>
      </w:r>
      <w:bookmarkEnd w:id="2"/>
    </w:p>
    <w:p>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一、商务要求</w:t>
      </w:r>
    </w:p>
    <w:p>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（一）报价要求</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磋商报价以人民币填列。</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响应文件中工程量清单报价需由工程量清单报价编制人员加盖造价工程师章并由审核人员加盖造价工程师章（注：编制和审核不可为同一人）。</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须加盖本单位在有效期内造价工程师章。供应商报价若委托其他造价单位编制时：须提供与该单位签订的委托合同，但该单位不得同时接受采购人和供应商或两个以上供应商对同一工程项目的工程造价咨询业务，且不得与其他供应商有隶属关系。</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磋商价格：</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具有标价的磋商书和报价汇总表，以及组成工程报价分专业的工程预算应包括施工设备、劳务、管理、材料、安装、维护、保险、利润、税金、政策性文件规定及合同包含的所有风险、责任等各项应有费用。</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（2）投标人应根据采购人提供的项目需求书、工程量清单和</w:t>
      </w:r>
      <w:r>
        <w:rPr>
          <w:color w:val="000000" w:themeColor="text1"/>
          <w:sz w:val="24"/>
          <w:highlight w:val="none"/>
          <w14:textFill>
            <w14:solidFill>
              <w14:schemeClr w14:val="tx1"/>
            </w14:solidFill>
          </w14:textFill>
        </w:rPr>
        <w:t>现场情况</w:t>
      </w:r>
      <w:r>
        <w:rPr>
          <w:color w:val="000000" w:themeColor="text1"/>
          <w:sz w:val="24"/>
          <w:highlight w:val="none"/>
          <w14:textFill>
            <w14:solidFill>
              <w14:schemeClr w14:val="tx1"/>
            </w14:solidFill>
          </w14:textFill>
        </w:rPr>
        <w:t>，填写报价，进行磋商。</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（3）工程磋商报价执行天津市相关定额（</w:t>
      </w:r>
      <w:r>
        <w:rPr>
          <w:color w:val="000000" w:themeColor="text1"/>
          <w:sz w:val="24"/>
          <w:highlight w:val="none"/>
          <w14:textFill>
            <w14:solidFill>
              <w14:schemeClr w14:val="tx1"/>
            </w14:solidFill>
          </w14:textFill>
        </w:rPr>
        <w:t>2020年《天津市建设工程计价办法》和《天津市建筑工程预算基价》、《天津市安装工程预算基价》等</w:t>
      </w:r>
      <w:r>
        <w:rPr>
          <w:color w:val="000000" w:themeColor="text1"/>
          <w:sz w:val="24"/>
          <w:highlight w:val="none"/>
          <w14:textFill>
            <w14:solidFill>
              <w14:schemeClr w14:val="tx1"/>
            </w14:solidFill>
          </w14:textFill>
        </w:rPr>
        <w:t>）和现行取费标准及市场价格。</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磋商价格采用形式：本工程磋商报价采用综合单价方式。</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除非合同中另有规定，综合单价是为完成工程量清单中一个规定计量单位项目所需的费用合计，应包括直接工程费、企业管理费、规费、利润和税金并考虑风险因素。除非合同中另有规定，供应商所填写的单价和合价在合同实施期间不因市场变化因素而变动。</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5. 采用综合单价报价的，除非采购人对磋商文件予以修改，投标人应按采购人提供的工程量清单中列出的工程项目和工程量填报单价和合价。每一项目只允许有一个报价。任何有选择的报价将不予接受。投标人未填单价或合价的工程项目，在实施后，采购人将不予以支付，并视为该项费用已包括在其他有价款的单价或合价内。 </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磋商报价均不包括施工过程中因施工图的重大设计变更（指结构、标准、规模）所发生的费用，不包括施工过程中遇到地下障碍物处理或地基处理所发生的费用。</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验收及相关费用由成交供应商负责。</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（二）质量要求：</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达到现行国家施工验收规范合格标准</w:t>
      </w:r>
      <w:r>
        <w:rPr>
          <w:color w:val="000000" w:themeColor="text1"/>
          <w:sz w:val="24"/>
          <w:highlight w:val="none"/>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（三）服务要求：</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工程免费保修期限为</w:t>
      </w:r>
      <w:r>
        <w:rPr>
          <w:rFonts w:hint="eastAsia"/>
          <w:color w:val="000000" w:themeColor="text1"/>
          <w:sz w:val="24"/>
          <w:highlight w:val="none"/>
          <w:lang w:val="en-US" w:eastAsia="zh-CN"/>
          <w14:textFill>
            <w14:solidFill>
              <w14:schemeClr w14:val="tx1"/>
            </w14:solidFill>
          </w14:textFill>
        </w:rPr>
        <w:t>三</w:t>
      </w:r>
      <w:r>
        <w:rPr>
          <w:color w:val="000000" w:themeColor="text1"/>
          <w:sz w:val="24"/>
          <w:highlight w:val="none"/>
          <w14:textFill>
            <w14:solidFill>
              <w14:schemeClr w14:val="tx1"/>
            </w14:solidFill>
          </w14:textFill>
        </w:rPr>
        <w:t>年</w:t>
      </w:r>
      <w:r>
        <w:rPr>
          <w:color w:val="000000" w:themeColor="text1"/>
          <w:sz w:val="24"/>
          <w:highlight w:val="none"/>
          <w14:textFill>
            <w14:solidFill>
              <w14:schemeClr w14:val="tx1"/>
            </w14:solidFill>
          </w14:textFill>
        </w:rPr>
        <w:t>，</w:t>
      </w:r>
      <w:r>
        <w:rPr>
          <w:color w:val="000000" w:themeColor="text1"/>
          <w:kern w:val="0"/>
          <w:sz w:val="24"/>
          <w:highlight w:val="none"/>
          <w14:textFill>
            <w14:solidFill>
              <w14:schemeClr w14:val="tx1"/>
            </w14:solidFill>
          </w14:textFill>
        </w:rPr>
        <w:t>自验收合格起开始计算，</w:t>
      </w:r>
      <w:r>
        <w:rPr>
          <w:color w:val="000000" w:themeColor="text1"/>
          <w:sz w:val="24"/>
          <w:highlight w:val="none"/>
          <w14:textFill>
            <w14:solidFill>
              <w14:schemeClr w14:val="tx1"/>
            </w14:solidFill>
          </w14:textFill>
        </w:rPr>
        <w:t>若因施工过失造成的质量事故，其损失和延长工期均由成交供应商负责。</w:t>
      </w:r>
    </w:p>
    <w:p>
      <w:pPr>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2. </w:t>
      </w:r>
      <w:r>
        <w:rPr>
          <w:color w:val="000000" w:themeColor="text1"/>
          <w:kern w:val="0"/>
          <w:sz w:val="24"/>
          <w:highlight w:val="none"/>
          <w14:textFill>
            <w14:solidFill>
              <w14:schemeClr w14:val="tx1"/>
            </w14:solidFill>
          </w14:textFill>
        </w:rPr>
        <w:t>工程施工验收合格后，协助采购人及物业管理进行工程的运行管理及交接。</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w:t>
      </w:r>
      <w:r>
        <w:rPr>
          <w:color w:val="000000" w:themeColor="text1"/>
          <w:sz w:val="24"/>
          <w:highlight w:val="none"/>
          <w14:textFill>
            <w14:solidFill>
              <w14:schemeClr w14:val="tx1"/>
            </w14:solidFill>
          </w14:textFill>
        </w:rPr>
        <w:t xml:space="preserve">. </w:t>
      </w:r>
      <w:r>
        <w:rPr>
          <w:color w:val="000000" w:themeColor="text1"/>
          <w:kern w:val="0"/>
          <w:sz w:val="24"/>
          <w:highlight w:val="none"/>
          <w14:textFill>
            <w14:solidFill>
              <w14:schemeClr w14:val="tx1"/>
            </w14:solidFill>
          </w14:textFill>
        </w:rPr>
        <w:t>在保修期外，提供有偿维修服务。</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（四）承包方式：</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本工程采取包工包料方式，按磋商最终报价确定合同价格，工程结算以采购人指定的审计部门做出的审计结果为结算依据。</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 变更由采购人签字认可，其增减量按实结算，人工费、材料差价不予调整。因投标方踏勘现场有误造成工程增项、增量，采购人不予认可。</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该工程涉及的一切手续</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消防、公安、市容、规划、占道、城管、环卫等</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，均由施工方负责办理，所发生的费用由磋商方承担，采购人只负责确认盖章等一般手续。</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（五）工期、施工地点要求：</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工期要求：</w:t>
      </w:r>
      <w:r>
        <w:rPr>
          <w:color w:val="000000" w:themeColor="text1"/>
          <w:sz w:val="24"/>
          <w:highlight w:val="none"/>
          <w14:textFill>
            <w14:solidFill>
              <w14:schemeClr w14:val="tx1"/>
            </w14:solidFill>
          </w14:textFill>
        </w:rPr>
        <w:t>合同签订后</w:t>
      </w:r>
      <w:r>
        <w:rPr>
          <w:rFonts w:hint="eastAsia"/>
          <w:color w:val="000000" w:themeColor="text1"/>
          <w:sz w:val="24"/>
          <w:highlight w:val="none"/>
          <w:lang w:val="en-US" w:eastAsia="zh-CN"/>
          <w14:textFill>
            <w14:solidFill>
              <w14:schemeClr w14:val="tx1"/>
            </w14:solidFill>
          </w14:textFill>
        </w:rPr>
        <w:t>30</w:t>
      </w:r>
      <w:r>
        <w:rPr>
          <w:color w:val="000000" w:themeColor="text1"/>
          <w:sz w:val="24"/>
          <w:highlight w:val="none"/>
          <w14:textFill>
            <w14:solidFill>
              <w14:schemeClr w14:val="tx1"/>
            </w14:solidFill>
          </w14:textFill>
        </w:rPr>
        <w:t>天内完工</w:t>
      </w:r>
      <w:r>
        <w:rPr>
          <w:color w:val="000000" w:themeColor="text1"/>
          <w:sz w:val="24"/>
          <w:highlight w:val="none"/>
          <w14:textFill>
            <w14:solidFill>
              <w14:schemeClr w14:val="tx1"/>
            </w14:solidFill>
          </w14:textFill>
        </w:rPr>
        <w:t>（特殊情况以合同为准）。</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施工地点：</w:t>
      </w:r>
      <w:r>
        <w:rPr>
          <w:rFonts w:hint="eastAsia"/>
          <w:color w:val="000000" w:themeColor="text1"/>
          <w:sz w:val="24"/>
          <w:highlight w:val="none"/>
          <w14:textFill>
            <w14:solidFill>
              <w14:schemeClr w14:val="tx1"/>
            </w14:solidFill>
          </w14:textFill>
        </w:rPr>
        <w:t>河北省秦皇岛市北戴河区东经路7号</w:t>
      </w:r>
      <w:r>
        <w:rPr>
          <w:color w:val="000000" w:themeColor="text1"/>
          <w:sz w:val="24"/>
          <w:highlight w:val="none"/>
          <w14:textFill>
            <w14:solidFill>
              <w14:schemeClr w14:val="tx1"/>
            </w14:solidFill>
          </w14:textFill>
        </w:rPr>
        <w:t>（特殊情况以合同为准）。</w:t>
      </w:r>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（六）付款方式：</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签订合同后15日内支付30%的工程预付款，全部工程竣工后，验收合格后</w:t>
      </w:r>
      <w:r>
        <w:rPr>
          <w:rFonts w:hint="eastAsia"/>
          <w:color w:val="000000" w:themeColor="text1"/>
          <w:sz w:val="24"/>
          <w:highlight w:val="none"/>
          <w:lang w:val="en-US" w:eastAsia="zh-CN"/>
          <w14:textFill>
            <w14:solidFill>
              <w14:schemeClr w14:val="tx1"/>
            </w14:solidFill>
          </w14:textFill>
        </w:rPr>
        <w:t>30日</w:t>
      </w:r>
      <w:r>
        <w:rPr>
          <w:rFonts w:hint="eastAsia"/>
          <w:color w:val="000000" w:themeColor="text1"/>
          <w:sz w:val="24"/>
          <w:highlight w:val="none"/>
          <w:lang w:val="en-US" w:eastAsia="zh-CN"/>
          <w14:textFill>
            <w14:solidFill>
              <w14:schemeClr w14:val="tx1"/>
            </w14:solidFill>
          </w14:textFill>
        </w:rPr>
        <w:t>内</w:t>
      </w:r>
      <w:r>
        <w:rPr>
          <w:rFonts w:hint="eastAsia"/>
          <w:color w:val="000000" w:themeColor="text1"/>
          <w:sz w:val="24"/>
          <w:highlight w:val="none"/>
          <w14:textFill>
            <w14:solidFill>
              <w14:schemeClr w14:val="tx1"/>
            </w14:solidFill>
          </w14:textFill>
        </w:rPr>
        <w:t>支付工程款的</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0%，按照最终工程验收结算审核后</w:t>
      </w:r>
      <w:r>
        <w:rPr>
          <w:rFonts w:hint="eastAsia"/>
          <w:color w:val="000000" w:themeColor="text1"/>
          <w:sz w:val="24"/>
          <w:highlight w:val="none"/>
          <w:lang w:val="en-US" w:eastAsia="zh-CN"/>
          <w14:textFill>
            <w14:solidFill>
              <w14:schemeClr w14:val="tx1"/>
            </w14:solidFill>
          </w14:textFill>
        </w:rPr>
        <w:t>30日</w:t>
      </w:r>
      <w:r>
        <w:rPr>
          <w:rFonts w:hint="eastAsia"/>
          <w:color w:val="000000" w:themeColor="text1"/>
          <w:sz w:val="24"/>
          <w:highlight w:val="none"/>
          <w:lang w:val="en-US" w:eastAsia="zh-CN"/>
          <w14:textFill>
            <w14:solidFill>
              <w14:schemeClr w14:val="tx1"/>
            </w14:solidFill>
          </w14:textFill>
        </w:rPr>
        <w:t>内</w:t>
      </w:r>
      <w:r>
        <w:rPr>
          <w:rFonts w:hint="eastAsia"/>
          <w:color w:val="000000" w:themeColor="text1"/>
          <w:sz w:val="24"/>
          <w:highlight w:val="none"/>
          <w14:textFill>
            <w14:solidFill>
              <w14:schemeClr w14:val="tx1"/>
            </w14:solidFill>
          </w14:textFill>
        </w:rPr>
        <w:t>价格支付工程款的</w:t>
      </w:r>
      <w:r>
        <w:rPr>
          <w:rFonts w:hint="eastAsia"/>
          <w:color w:val="000000" w:themeColor="text1"/>
          <w:sz w:val="24"/>
          <w:highlight w:val="none"/>
          <w:lang w:val="en-US" w:eastAsia="zh-CN"/>
          <w14:textFill>
            <w14:solidFill>
              <w14:schemeClr w14:val="tx1"/>
            </w14:solidFill>
          </w14:textFill>
        </w:rPr>
        <w:t>17</w:t>
      </w:r>
      <w:r>
        <w:rPr>
          <w:rFonts w:hint="eastAsia"/>
          <w:color w:val="000000" w:themeColor="text1"/>
          <w:sz w:val="24"/>
          <w:highlight w:val="none"/>
          <w14:textFill>
            <w14:solidFill>
              <w14:schemeClr w14:val="tx1"/>
            </w14:solidFill>
          </w14:textFill>
        </w:rPr>
        <w:t>%，工程质保期结束后</w:t>
      </w:r>
      <w:r>
        <w:rPr>
          <w:rFonts w:hint="eastAsia"/>
          <w:color w:val="000000" w:themeColor="text1"/>
          <w:sz w:val="24"/>
          <w:highlight w:val="none"/>
          <w:lang w:val="en-US" w:eastAsia="zh-CN"/>
          <w14:textFill>
            <w14:solidFill>
              <w14:schemeClr w14:val="tx1"/>
            </w14:solidFill>
          </w14:textFill>
        </w:rPr>
        <w:t>20日</w:t>
      </w:r>
      <w:r>
        <w:rPr>
          <w:rFonts w:hint="eastAsia"/>
          <w:color w:val="000000" w:themeColor="text1"/>
          <w:sz w:val="24"/>
          <w:highlight w:val="none"/>
          <w:lang w:val="en-US" w:eastAsia="zh-CN"/>
          <w14:textFill>
            <w14:solidFill>
              <w14:schemeClr w14:val="tx1"/>
            </w14:solidFill>
          </w14:textFill>
        </w:rPr>
        <w:t>内</w:t>
      </w:r>
      <w:r>
        <w:rPr>
          <w:rFonts w:hint="eastAsia"/>
          <w:color w:val="000000" w:themeColor="text1"/>
          <w:sz w:val="24"/>
          <w:highlight w:val="none"/>
          <w14:textFill>
            <w14:solidFill>
              <w14:schemeClr w14:val="tx1"/>
            </w14:solidFill>
          </w14:textFill>
        </w:rPr>
        <w:t>支付最后3%工程款</w:t>
      </w:r>
      <w:r>
        <w:rPr>
          <w:color w:val="000000" w:themeColor="text1"/>
          <w:sz w:val="24"/>
          <w:highlight w:val="none"/>
          <w14:textFill>
            <w14:solidFill>
              <w14:schemeClr w14:val="tx1"/>
            </w14:solidFill>
          </w14:textFill>
        </w:rPr>
        <w:t>（特殊情况以合同为准）。</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若中标供应商为中小企业：签订合同后15日内支付30%的工程预付款，全部工程竣工后，验收合格后30日内支付工程款的70%</w:t>
      </w:r>
      <w:r>
        <w:rPr>
          <w:color w:val="000000" w:themeColor="text1"/>
          <w:sz w:val="24"/>
          <w:highlight w:val="none"/>
          <w14:textFill>
            <w14:solidFill>
              <w14:schemeClr w14:val="tx1"/>
            </w14:solidFill>
          </w14:textFill>
        </w:rPr>
        <w:t>（特殊情况以合同为准）。</w:t>
      </w:r>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（七）磋商有效期：本项目磋商有效期为60天。</w:t>
      </w:r>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（八）磋商保证金及履约保证金：本项目不收取磋商保证金及履约保证金。</w:t>
      </w:r>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（九）其他要求：</w:t>
      </w:r>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1. 投标人须整包进行磋商，不得拆包分项磋商。</w:t>
      </w:r>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2. 未经采购人同意，成交供应商不得转让合同，不得转包、分包。若出现上述情形时，将按照相关法律法规执行。</w:t>
      </w:r>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3. 本项目由采购人自行组织验收。按照采购合同的约定和现行国家标准、行业标准或企业标准对每一服务环节、安全标准的履约情况进行考核与验收。必要时，采购人有权邀请参加本项目的其他供应商或者第三方机构参与验收。参与验收的供应商或者第三方机构的意见作为验收书的参考资料一并存档。验收结束后，应当出具验收书，列明各项服务的考核验收情况及项目总体评价，由验收双方共同签署。</w:t>
      </w:r>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4. 本项目不接受赠品或者与采购无关的其他商品、服务，投标人亦不得以采购人要求实施前述馈赠、回扣等行为。</w:t>
      </w:r>
    </w:p>
    <w:p>
      <w:pPr>
        <w:autoSpaceDE w:val="0"/>
        <w:autoSpaceDN w:val="0"/>
        <w:adjustRightInd w:val="0"/>
        <w:spacing w:line="360" w:lineRule="auto"/>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二、技术要求</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（一）以采购人提供的工程量清单为准，工程结算需经审计并以审定值为准进行结算。</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（二）采购范围：采购人提供的工程量清单中指定的内容。</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（三）质量标准：达到国家施工验收规范合格标准。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工程所用的材料、设备的品种、规格、性能和等级必须符合设计要求及国家、天津市现行产品标准和工程技术有关规定，符合国家有关建筑装饰装修材料有害物质限定标准的规定，达到环保要求，瓷质砖、溶剂型木器涂料、灯具具有强制性产品认证（3C）证书。</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（六）主要材料设备在采购前，其材料质量、规格、品牌、性能必须经采购人确认后方可采购。工程施工中如发生因材料质量不合格，影响工程的施工进度和工程质量，所造成的一切损失由成交供应商负责。</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七）施工材料设备实行用户控制(甲控)，即施工材料设备只有在采购人认可后方可使用，采购人有权重新指定材料设备品牌，新老材料设备差价按实结算(多退少补)，成交供应商负责材料设备的采购、运输、保管和退换等事项。</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（八）本项目的工程建设必须达到现行国家、省、自治区、直辖市或行业的工程建设标准、规范及强制性条文的要求。</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（九）施工前，需要按照国家规定进行二次复测的材料设备，必须经复测达到国家环保标准后方可使用，否则，由此所造成的损失则由施工单位负责。复测费用由施工单位承担。</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（十）施工中应严格遵守有关环境保护的法律法规，并应采用有效措施控制施工现场各种粉尘、废气、废弃物噪声、振动等对周围环境造成的污染和危害。</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（十一）</w:t>
      </w:r>
      <w:r>
        <w:rPr>
          <w:color w:val="000000" w:themeColor="text1"/>
          <w:sz w:val="24"/>
          <w:highlight w:val="none"/>
          <w14:textFill>
            <w14:solidFill>
              <w14:schemeClr w14:val="tx1"/>
            </w14:solidFill>
          </w14:textFill>
        </w:rPr>
        <w:t>投标人</w:t>
      </w:r>
      <w:r>
        <w:rPr>
          <w:color w:val="000000" w:themeColor="text1"/>
          <w:sz w:val="24"/>
          <w:szCs w:val="24"/>
          <w:highlight w:val="none"/>
          <w14:textFill>
            <w14:solidFill>
              <w14:schemeClr w14:val="tx1"/>
            </w14:solidFill>
          </w14:textFill>
        </w:rPr>
        <w:t>必须具有良好的资信和售后服务，服从采购人的管理，自觉接受监理机构的监理，并能密切配合其它配套施工项目。</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）本工程所涉的节能产品、节水产品及环境标志产品</w:t>
      </w:r>
      <w:r>
        <w:rPr>
          <w:color w:val="000000" w:themeColor="text1"/>
          <w:kern w:val="0"/>
          <w:sz w:val="24"/>
          <w:szCs w:val="21"/>
          <w:highlight w:val="none"/>
          <w14:textFill>
            <w14:solidFill>
              <w14:schemeClr w14:val="tx1"/>
            </w14:solidFill>
          </w14:textFill>
        </w:rPr>
        <w:t>须</w:t>
      </w:r>
      <w:r>
        <w:rPr>
          <w:color w:val="000000" w:themeColor="text1"/>
          <w:sz w:val="24"/>
          <w:highlight w:val="none"/>
          <w14:textFill>
            <w14:solidFill>
              <w14:schemeClr w14:val="tx1"/>
            </w14:solidFill>
          </w14:textFill>
        </w:rPr>
        <w:t>按照《关于调整优化节能产品、环境标志产品政府采购执行机制的通知》（财库〔2019〕9号）文件要求，对政府采购节能、环境标志品目清单内的产品实施优先采购和强制采购。</w:t>
      </w:r>
    </w:p>
    <w:p>
      <w:pPr>
        <w:autoSpaceDE w:val="0"/>
        <w:autoSpaceDN w:val="0"/>
        <w:adjustRightInd w:val="0"/>
        <w:spacing w:line="360" w:lineRule="auto"/>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三、评</w:t>
      </w:r>
      <w:r>
        <w:rPr>
          <w:rFonts w:hint="eastAsia"/>
          <w:bCs/>
          <w:color w:val="000000" w:themeColor="text1"/>
          <w:sz w:val="24"/>
          <w:highlight w:val="none"/>
          <w14:textFill>
            <w14:solidFill>
              <w14:schemeClr w14:val="tx1"/>
            </w14:solidFill>
          </w14:textFill>
        </w:rPr>
        <w:t>分</w:t>
      </w:r>
      <w:r>
        <w:rPr>
          <w:bCs/>
          <w:color w:val="000000" w:themeColor="text1"/>
          <w:sz w:val="24"/>
          <w:highlight w:val="none"/>
          <w14:textFill>
            <w14:solidFill>
              <w14:schemeClr w14:val="tx1"/>
            </w14:solidFill>
          </w14:textFill>
        </w:rPr>
        <w:t>因素及评标标准</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bookmarkStart w:id="4" w:name="OLE_LINK3"/>
      <w:r>
        <w:rPr>
          <w:color w:val="000000" w:themeColor="text1"/>
          <w:kern w:val="0"/>
          <w:sz w:val="24"/>
          <w:szCs w:val="24"/>
          <w:highlight w:val="none"/>
          <w14:textFill>
            <w14:solidFill>
              <w14:schemeClr w14:val="tx1"/>
            </w14:solidFill>
          </w14:textFill>
        </w:rPr>
        <w:t>第一部分 价格（30分）</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（1）报价超过采购预算的，</w:t>
      </w:r>
      <w:r>
        <w:rPr>
          <w:rFonts w:hint="eastAsia"/>
          <w:color w:val="000000" w:themeColor="text1"/>
          <w:kern w:val="0"/>
          <w:sz w:val="24"/>
          <w:szCs w:val="24"/>
          <w:highlight w:val="none"/>
          <w14:textFill>
            <w14:solidFill>
              <w14:schemeClr w14:val="tx1"/>
            </w14:solidFill>
          </w14:textFill>
        </w:rPr>
        <w:t>响应</w:t>
      </w:r>
      <w:r>
        <w:rPr>
          <w:color w:val="000000" w:themeColor="text1"/>
          <w:kern w:val="0"/>
          <w:sz w:val="24"/>
          <w:szCs w:val="24"/>
          <w:highlight w:val="none"/>
          <w14:textFill>
            <w14:solidFill>
              <w14:schemeClr w14:val="tx1"/>
            </w14:solidFill>
          </w14:textFill>
        </w:rPr>
        <w:t>无效，未超过采购预算的报价按以下公式进行计算。</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价格</w:t>
      </w:r>
      <w:r>
        <w:rPr>
          <w:color w:val="000000" w:themeColor="text1"/>
          <w:kern w:val="0"/>
          <w:sz w:val="24"/>
          <w:szCs w:val="24"/>
          <w:highlight w:val="none"/>
          <w14:textFill>
            <w14:solidFill>
              <w14:schemeClr w14:val="tx1"/>
            </w14:solidFill>
          </w14:textFill>
        </w:rPr>
        <w:t>得分=（评标基准价/报价）×</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0</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注：满足磋商文件要求且报价最低的报价为评标基准价。</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客观分（10分）</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 投标人业绩（4分）</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完全按照以下要求提供投标人曾实施的</w:t>
      </w:r>
      <w:r>
        <w:rPr>
          <w:rFonts w:hint="eastAsia"/>
          <w:color w:val="000000" w:themeColor="text1"/>
          <w:kern w:val="0"/>
          <w:sz w:val="24"/>
          <w:szCs w:val="24"/>
          <w:highlight w:val="none"/>
          <w:lang w:val="en-US" w:eastAsia="zh-CN"/>
          <w14:textFill>
            <w14:solidFill>
              <w14:schemeClr w14:val="tx1"/>
            </w14:solidFill>
          </w14:textFill>
        </w:rPr>
        <w:t>消防设施安装</w:t>
      </w:r>
      <w:r>
        <w:rPr>
          <w:color w:val="000000" w:themeColor="text1"/>
          <w:kern w:val="0"/>
          <w:sz w:val="24"/>
          <w:szCs w:val="24"/>
          <w:highlight w:val="none"/>
          <w14:textFill>
            <w14:solidFill>
              <w14:schemeClr w14:val="tx1"/>
            </w14:solidFill>
          </w14:textFill>
        </w:rPr>
        <w:t>工程</w:t>
      </w:r>
      <w:r>
        <w:rPr>
          <w:color w:val="000000" w:themeColor="text1"/>
          <w:kern w:val="0"/>
          <w:sz w:val="24"/>
          <w:szCs w:val="24"/>
          <w:highlight w:val="none"/>
          <w14:textFill>
            <w14:solidFill>
              <w14:schemeClr w14:val="tx1"/>
            </w14:solidFill>
          </w14:textFill>
        </w:rPr>
        <w:t>业绩，提供的证明材料均不得遮挡涂黑，否则不予认定加分。</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A. 合同原件扫描件。包括买卖双方名称及盖章、工程内容</w:t>
      </w:r>
      <w:r>
        <w:rPr>
          <w:rFonts w:hint="eastAsia"/>
          <w:color w:val="000000" w:themeColor="text1"/>
          <w:kern w:val="0"/>
          <w:sz w:val="24"/>
          <w:szCs w:val="24"/>
          <w:highlight w:val="none"/>
          <w14:textFill>
            <w14:solidFill>
              <w14:schemeClr w14:val="tx1"/>
            </w14:solidFill>
          </w14:textFill>
        </w:rPr>
        <w:t>、</w:t>
      </w:r>
      <w:r>
        <w:rPr>
          <w:color w:val="000000" w:themeColor="text1"/>
          <w:kern w:val="0"/>
          <w:sz w:val="24"/>
          <w:szCs w:val="24"/>
          <w:highlight w:val="none"/>
          <w14:textFill>
            <w14:solidFill>
              <w14:schemeClr w14:val="tx1"/>
            </w14:solidFill>
          </w14:textFill>
        </w:rPr>
        <w:t>合同签订日期</w:t>
      </w:r>
      <w:r>
        <w:rPr>
          <w:rFonts w:hint="eastAsia"/>
          <w:color w:val="000000" w:themeColor="text1"/>
          <w:kern w:val="0"/>
          <w:sz w:val="24"/>
          <w:szCs w:val="24"/>
          <w:highlight w:val="none"/>
          <w14:textFill>
            <w14:solidFill>
              <w14:schemeClr w14:val="tx1"/>
            </w14:solidFill>
          </w14:textFill>
        </w:rPr>
        <w:t>（应</w:t>
      </w:r>
      <w:r>
        <w:rPr>
          <w:color w:val="000000" w:themeColor="text1"/>
          <w:kern w:val="0"/>
          <w:sz w:val="24"/>
          <w:szCs w:val="24"/>
          <w:highlight w:val="none"/>
          <w14:textFill>
            <w14:solidFill>
              <w14:schemeClr w14:val="tx1"/>
            </w14:solidFill>
          </w14:textFill>
        </w:rPr>
        <w:t>为20</w:t>
      </w:r>
      <w:r>
        <w:rPr>
          <w:rFonts w:hint="eastAsia"/>
          <w:color w:val="000000" w:themeColor="text1"/>
          <w:kern w:val="0"/>
          <w:sz w:val="24"/>
          <w:szCs w:val="24"/>
          <w:highlight w:val="none"/>
          <w14:textFill>
            <w14:solidFill>
              <w14:schemeClr w14:val="tx1"/>
            </w14:solidFill>
          </w14:textFill>
        </w:rPr>
        <w:t>21</w:t>
      </w:r>
      <w:r>
        <w:rPr>
          <w:color w:val="000000" w:themeColor="text1"/>
          <w:kern w:val="0"/>
          <w:sz w:val="24"/>
          <w:szCs w:val="24"/>
          <w:highlight w:val="none"/>
          <w14:textFill>
            <w14:solidFill>
              <w14:schemeClr w14:val="tx1"/>
            </w14:solidFill>
          </w14:textFill>
        </w:rPr>
        <w:t>年1月1日或以后）。</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B. 加盖合同甲方单位公章的合同履行良好的相关证明材料原件扫描件。</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每个业绩1分，最多4分。</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 投标人相关证书评价（6分）</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投标人具备</w:t>
      </w:r>
      <w:bookmarkStart w:id="5" w:name="OLE_LINK1"/>
      <w:bookmarkStart w:id="6" w:name="OLE_LINK2"/>
      <w:r>
        <w:rPr>
          <w:color w:val="000000" w:themeColor="text1"/>
          <w:kern w:val="0"/>
          <w:sz w:val="24"/>
          <w:szCs w:val="24"/>
          <w:highlight w:val="none"/>
          <w14:textFill>
            <w14:solidFill>
              <w14:schemeClr w14:val="tx1"/>
            </w14:solidFill>
          </w14:textFill>
        </w:rPr>
        <w:t>质量管理体系认证</w:t>
      </w:r>
      <w:bookmarkEnd w:id="5"/>
      <w:bookmarkEnd w:id="6"/>
      <w:r>
        <w:rPr>
          <w:color w:val="000000" w:themeColor="text1"/>
          <w:kern w:val="0"/>
          <w:sz w:val="24"/>
          <w:szCs w:val="24"/>
          <w:highlight w:val="none"/>
          <w14:textFill>
            <w14:solidFill>
              <w14:schemeClr w14:val="tx1"/>
            </w14:solidFill>
          </w14:textFill>
        </w:rPr>
        <w:t>、环境管理体系认证、职业健康安全管理体系认证，提供证书扫描件。</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具备1个证书得2分，最高6分。</w:t>
      </w:r>
    </w:p>
    <w:p>
      <w:pPr>
        <w:spacing w:line="360" w:lineRule="auto"/>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主观分（60分）</w:t>
      </w:r>
    </w:p>
    <w:bookmarkEnd w:id="4"/>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工程质量目标承诺（5分）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工程质量目标承诺满足竞争性磋商文件要求标准：5分；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其他：0分。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 施工工期承诺（4分）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施工工期承诺满足磋商文件要求：4分；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其他：0分。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 施工组织设计或施工方案（51分）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（1）总体概述（5分）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对本项目的内容总体有深入认识及了解，总体概述表述清晰、完整、严谨</w:t>
      </w:r>
      <w:r>
        <w:rPr>
          <w:color w:val="000000" w:themeColor="text1"/>
          <w:kern w:val="0"/>
          <w:sz w:val="24"/>
          <w:szCs w:val="24"/>
          <w:highlight w:val="none"/>
          <w14:textFill>
            <w14:solidFill>
              <w14:schemeClr w14:val="tx1"/>
            </w14:solidFill>
          </w14:textFill>
        </w:rPr>
        <w:t>、合理、可行性高，内容全面，优于采购需求</w:t>
      </w:r>
      <w:r>
        <w:rPr>
          <w:color w:val="000000" w:themeColor="text1"/>
          <w:sz w:val="24"/>
          <w:szCs w:val="24"/>
          <w:highlight w:val="none"/>
          <w14:textFill>
            <w14:solidFill>
              <w14:schemeClr w14:val="tx1"/>
            </w14:solidFill>
          </w14:textFill>
        </w:rPr>
        <w:t>：5分；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对本项目的内容总体较为深入认识及了解，总体概述表述</w:t>
      </w:r>
      <w:r>
        <w:rPr>
          <w:color w:val="000000" w:themeColor="text1"/>
          <w:kern w:val="0"/>
          <w:sz w:val="24"/>
          <w:szCs w:val="24"/>
          <w:highlight w:val="none"/>
          <w14:textFill>
            <w14:solidFill>
              <w14:schemeClr w14:val="tx1"/>
            </w14:solidFill>
          </w14:textFill>
        </w:rPr>
        <w:t>较为</w:t>
      </w:r>
      <w:r>
        <w:rPr>
          <w:color w:val="000000" w:themeColor="text1"/>
          <w:sz w:val="24"/>
          <w:szCs w:val="24"/>
          <w:highlight w:val="none"/>
          <w14:textFill>
            <w14:solidFill>
              <w14:schemeClr w14:val="tx1"/>
            </w14:solidFill>
          </w14:textFill>
        </w:rPr>
        <w:t>清晰、完整、严谨</w:t>
      </w:r>
      <w:r>
        <w:rPr>
          <w:color w:val="000000" w:themeColor="text1"/>
          <w:kern w:val="0"/>
          <w:sz w:val="24"/>
          <w:szCs w:val="24"/>
          <w:highlight w:val="none"/>
          <w14:textFill>
            <w14:solidFill>
              <w14:schemeClr w14:val="tx1"/>
            </w14:solidFill>
          </w14:textFill>
        </w:rPr>
        <w:t>、合理、可行性较高，内容较全面，完全满足采购需求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对本项目的内容总体有一定得认识及了解，总体概述表述</w:t>
      </w:r>
      <w:r>
        <w:rPr>
          <w:color w:val="000000" w:themeColor="text1"/>
          <w:kern w:val="0"/>
          <w:sz w:val="24"/>
          <w:szCs w:val="24"/>
          <w:highlight w:val="none"/>
          <w14:textFill>
            <w14:solidFill>
              <w14:schemeClr w14:val="tx1"/>
            </w14:solidFill>
          </w14:textFill>
        </w:rPr>
        <w:t>一般、可行性一般，内容基本齐全，基本满足采购需求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总体概述</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（2）施工平面布置和临时设施布置（3分）</w:t>
      </w:r>
    </w:p>
    <w:p>
      <w:pPr>
        <w:spacing w:line="360" w:lineRule="auto"/>
        <w:ind w:firstLine="480" w:firstLineChars="20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总体布置针对性强、非常合理，最大限度的满足施工需要，特别符合安全、文明生产需要，优于采购需求：3分；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总体布置针对性较强、较为合理，满足施工需要，符合安全、文明生产需要，完全满足采购需求</w:t>
      </w:r>
      <w:r>
        <w:rPr>
          <w:color w:val="000000" w:themeColor="text1"/>
          <w:sz w:val="24"/>
          <w:szCs w:val="24"/>
          <w:highlight w:val="none"/>
          <w14:textFill>
            <w14:solidFill>
              <w14:schemeClr w14:val="tx1"/>
            </w14:solidFill>
          </w14:textFill>
        </w:rPr>
        <w:t>：2分；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总体布置针对性一般、合理性一般，基本满足施工需要，基本符合安全、文明生产需要，基本满足采购需求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施工平面布置和临时设施布置方案</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（3）劳动力和材料投入计划及其保证措施（3分）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投入计划与进度计划呼应，满足施工需要，调配投入计划合理、准确，</w:t>
      </w:r>
      <w:r>
        <w:rPr>
          <w:color w:val="000000" w:themeColor="text1"/>
          <w:kern w:val="0"/>
          <w:sz w:val="24"/>
          <w:szCs w:val="24"/>
          <w:highlight w:val="none"/>
          <w14:textFill>
            <w14:solidFill>
              <w14:schemeClr w14:val="tx1"/>
            </w14:solidFill>
          </w14:textFill>
        </w:rPr>
        <w:t>优于采购需求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投入计划与进度计划较为呼应，满足施工需要，调配投入计划较为合理、准确，</w:t>
      </w:r>
      <w:r>
        <w:rPr>
          <w:color w:val="000000" w:themeColor="text1"/>
          <w:kern w:val="0"/>
          <w:sz w:val="24"/>
          <w:szCs w:val="24"/>
          <w:highlight w:val="none"/>
          <w14:textFill>
            <w14:solidFill>
              <w14:schemeClr w14:val="tx1"/>
            </w14:solidFill>
          </w14:textFill>
        </w:rPr>
        <w:t>完全满足采购需求</w:t>
      </w:r>
      <w:r>
        <w:rPr>
          <w:color w:val="000000" w:themeColor="text1"/>
          <w:sz w:val="24"/>
          <w:szCs w:val="24"/>
          <w:highlight w:val="none"/>
          <w14:textFill>
            <w14:solidFill>
              <w14:schemeClr w14:val="tx1"/>
            </w14:solidFill>
          </w14:textFill>
        </w:rPr>
        <w:t>：2分；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投入计划与进度计划呼应性一般，基本满足施工需要，调配投入计划基本合理、准确，</w:t>
      </w:r>
      <w:r>
        <w:rPr>
          <w:color w:val="000000" w:themeColor="text1"/>
          <w:kern w:val="0"/>
          <w:sz w:val="24"/>
          <w:szCs w:val="24"/>
          <w:highlight w:val="none"/>
          <w14:textFill>
            <w14:solidFill>
              <w14:schemeClr w14:val="tx1"/>
            </w14:solidFill>
          </w14:textFill>
        </w:rPr>
        <w:t>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劳动力和材料投入计划及其保证措施</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（4）施工进度计划和各阶段进度的保证措施（3分）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关键线路清晰、准确、完整、计划编制合理、可行；关键节点的控制措施有力、合理、可行，</w:t>
      </w:r>
      <w:r>
        <w:rPr>
          <w:color w:val="000000" w:themeColor="text1"/>
          <w:kern w:val="0"/>
          <w:sz w:val="24"/>
          <w:szCs w:val="24"/>
          <w:highlight w:val="none"/>
          <w14:textFill>
            <w14:solidFill>
              <w14:schemeClr w14:val="tx1"/>
            </w14:solidFill>
          </w14:textFill>
        </w:rPr>
        <w:t>优于采购需求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关键线路较为清晰、准确、完整；计划编制较为合理、可行；关键节点的控制措施较为有力、合理、可行，</w:t>
      </w:r>
      <w:r>
        <w:rPr>
          <w:color w:val="000000" w:themeColor="text1"/>
          <w:kern w:val="0"/>
          <w:sz w:val="24"/>
          <w:szCs w:val="24"/>
          <w:highlight w:val="none"/>
          <w14:textFill>
            <w14:solidFill>
              <w14:schemeClr w14:val="tx1"/>
            </w14:solidFill>
          </w14:textFill>
        </w:rPr>
        <w:t>完全满足采购需求</w:t>
      </w:r>
      <w:r>
        <w:rPr>
          <w:color w:val="000000" w:themeColor="text1"/>
          <w:sz w:val="24"/>
          <w:szCs w:val="24"/>
          <w:highlight w:val="none"/>
          <w14:textFill>
            <w14:solidFill>
              <w14:schemeClr w14:val="tx1"/>
            </w14:solidFill>
          </w14:textFill>
        </w:rPr>
        <w:t>：2分；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关键线路一般；计划编制一般；关键节点的控制措施一般，</w:t>
      </w:r>
      <w:r>
        <w:rPr>
          <w:color w:val="000000" w:themeColor="text1"/>
          <w:kern w:val="0"/>
          <w:sz w:val="24"/>
          <w:szCs w:val="24"/>
          <w:highlight w:val="none"/>
          <w14:textFill>
            <w14:solidFill>
              <w14:schemeClr w14:val="tx1"/>
            </w14:solidFill>
          </w14:textFill>
        </w:rPr>
        <w:t>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施工进度计划和各阶段进度的保证措施</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（5）机械设备投入计划方案（3分）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投入计划与进度计划呼应，满足施工需要，全部采用先进机械设备，方案</w:t>
      </w:r>
      <w:r>
        <w:rPr>
          <w:color w:val="000000" w:themeColor="text1"/>
          <w:kern w:val="0"/>
          <w:sz w:val="24"/>
          <w:szCs w:val="24"/>
          <w:highlight w:val="none"/>
          <w14:textFill>
            <w14:solidFill>
              <w14:schemeClr w14:val="tx1"/>
            </w14:solidFill>
          </w14:textFill>
        </w:rPr>
        <w:t>优于采购需求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投入计划与进度计划较为呼应，满足施工需要，部分采用先进机械设备，方案</w:t>
      </w:r>
      <w:r>
        <w:rPr>
          <w:color w:val="000000" w:themeColor="text1"/>
          <w:kern w:val="0"/>
          <w:sz w:val="24"/>
          <w:szCs w:val="24"/>
          <w:highlight w:val="none"/>
          <w14:textFill>
            <w14:solidFill>
              <w14:schemeClr w14:val="tx1"/>
            </w14:solidFill>
          </w14:textFill>
        </w:rPr>
        <w:t>完全满足采购需求</w:t>
      </w:r>
      <w:r>
        <w:rPr>
          <w:color w:val="000000" w:themeColor="text1"/>
          <w:sz w:val="24"/>
          <w:szCs w:val="24"/>
          <w:highlight w:val="none"/>
          <w14:textFill>
            <w14:solidFill>
              <w14:schemeClr w14:val="tx1"/>
            </w14:solidFill>
          </w14:textFill>
        </w:rPr>
        <w:t>：2分；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投入计划与进度计划呼应性一般，基本满足施工需要，未采用先进机械设备，方案</w:t>
      </w:r>
      <w:r>
        <w:rPr>
          <w:color w:val="000000" w:themeColor="text1"/>
          <w:kern w:val="0"/>
          <w:sz w:val="24"/>
          <w:szCs w:val="24"/>
          <w:highlight w:val="none"/>
          <w14:textFill>
            <w14:solidFill>
              <w14:schemeClr w14:val="tx1"/>
            </w14:solidFill>
          </w14:textFill>
        </w:rPr>
        <w:t>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机械设备投入计划方案</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（6）关键工序的施工技术、工艺以及质量保证的措施、工程实施的重点、难点分析和解决方案（5分）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对关键工序的关键技术、工艺有深入的表述，对重点、难点有先进、合理的建议，解决方案完整、经济、安全、质量保证切实可行，措施得力，方案</w:t>
      </w:r>
      <w:r>
        <w:rPr>
          <w:color w:val="000000" w:themeColor="text1"/>
          <w:kern w:val="0"/>
          <w:sz w:val="24"/>
          <w:szCs w:val="24"/>
          <w:highlight w:val="none"/>
          <w14:textFill>
            <w14:solidFill>
              <w14:schemeClr w14:val="tx1"/>
            </w14:solidFill>
          </w14:textFill>
        </w:rPr>
        <w:t>优于采购人需求</w:t>
      </w:r>
      <w:r>
        <w:rPr>
          <w:color w:val="000000" w:themeColor="text1"/>
          <w:sz w:val="24"/>
          <w:szCs w:val="24"/>
          <w:highlight w:val="none"/>
          <w14:textFill>
            <w14:solidFill>
              <w14:schemeClr w14:val="tx1"/>
            </w14:solidFill>
          </w14:textFill>
        </w:rPr>
        <w:t>：5分；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对关键工序的关键技术、工艺有较为深入的表述，对重点、难点有较为先进、合理的建议，解决方案较为完整、经济、安全，质量保证较为切实可行，措施较为得力，方案</w:t>
      </w:r>
      <w:r>
        <w:rPr>
          <w:color w:val="000000" w:themeColor="text1"/>
          <w:kern w:val="0"/>
          <w:sz w:val="24"/>
          <w:szCs w:val="24"/>
          <w:highlight w:val="none"/>
          <w14:textFill>
            <w14:solidFill>
              <w14:schemeClr w14:val="tx1"/>
            </w14:solidFill>
          </w14:textFill>
        </w:rPr>
        <w:t>完全满足采购需求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对关键工序的关键技术、工艺有的表述一般，对重点、难点有建议，解决方案一般，质量保证基本切实可行，措施基本得力，方案</w:t>
      </w:r>
      <w:r>
        <w:rPr>
          <w:color w:val="000000" w:themeColor="text1"/>
          <w:kern w:val="0"/>
          <w:sz w:val="24"/>
          <w:szCs w:val="24"/>
          <w:highlight w:val="none"/>
          <w14:textFill>
            <w14:solidFill>
              <w14:schemeClr w14:val="tx1"/>
            </w14:solidFill>
          </w14:textFill>
        </w:rPr>
        <w:t>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关键工序的施工技术、工艺以及质量保证的措施、工程实施的重点、难点分析和解决方案</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（7）新技术、新工艺、专利技术的应用和违约责任承诺（3分）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能针对项目实际，提出采用新技术、新工艺、专利技术的具体措施。新技术、新工艺、专利技术的验证材料可靠，对节约投资和工期的保证措施得力、具体、严谨。对采用的新技术、新工艺、专利技术可能产生的风险预见充分，违约承诺具体，经济赔偿较大，方案</w:t>
      </w:r>
      <w:r>
        <w:rPr>
          <w:color w:val="000000" w:themeColor="text1"/>
          <w:kern w:val="0"/>
          <w:sz w:val="24"/>
          <w:szCs w:val="24"/>
          <w:highlight w:val="none"/>
          <w14:textFill>
            <w14:solidFill>
              <w14:schemeClr w14:val="tx1"/>
            </w14:solidFill>
          </w14:textFill>
        </w:rPr>
        <w:t>优于采购需求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能针对项目实际，提出采用新技术、新工艺、专利技术的具体措施。新技术、新工艺、专利技术的验证材料较为可靠，对节约投资和工期的保证措施较为得力。对采用的新技术、新工艺、专利技术可能产生的风险有一定的预见性，违约承诺较为具体，经济赔偿较大，方案</w:t>
      </w:r>
      <w:r>
        <w:rPr>
          <w:color w:val="000000" w:themeColor="text1"/>
          <w:kern w:val="0"/>
          <w:sz w:val="24"/>
          <w:szCs w:val="24"/>
          <w:highlight w:val="none"/>
          <w14:textFill>
            <w14:solidFill>
              <w14:schemeClr w14:val="tx1"/>
            </w14:solidFill>
          </w14:textFill>
        </w:rPr>
        <w:t>完全满足采购需求</w:t>
      </w:r>
      <w:r>
        <w:rPr>
          <w:color w:val="000000" w:themeColor="text1"/>
          <w:sz w:val="24"/>
          <w:szCs w:val="24"/>
          <w:highlight w:val="none"/>
          <w14:textFill>
            <w14:solidFill>
              <w14:schemeClr w14:val="tx1"/>
            </w14:solidFill>
          </w14:textFill>
        </w:rPr>
        <w:t>：2分；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针对项目实际，未提出采用新技术、新工艺、专利技术的具体措施，对采用的新技术、新工艺、专利技术可能产生的风险有预见性一般，违约承诺一般，经济赔偿较小，方案</w:t>
      </w:r>
      <w:r>
        <w:rPr>
          <w:color w:val="000000" w:themeColor="text1"/>
          <w:kern w:val="0"/>
          <w:sz w:val="24"/>
          <w:szCs w:val="24"/>
          <w:highlight w:val="none"/>
          <w14:textFill>
            <w14:solidFill>
              <w14:schemeClr w14:val="tx1"/>
            </w14:solidFill>
          </w14:textFill>
        </w:rPr>
        <w:t>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新技术、新工艺、专利技术的应用和违约责任承诺</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（8）安全保证措施（5分）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针对项目实际情况，有先进、具体、完整、可行的实施方案和措施，措施</w:t>
      </w:r>
      <w:r>
        <w:rPr>
          <w:color w:val="000000" w:themeColor="text1"/>
          <w:kern w:val="0"/>
          <w:sz w:val="24"/>
          <w:szCs w:val="24"/>
          <w:highlight w:val="none"/>
          <w14:textFill>
            <w14:solidFill>
              <w14:schemeClr w14:val="tx1"/>
            </w14:solidFill>
          </w14:textFill>
        </w:rPr>
        <w:t>优于采购需求</w:t>
      </w:r>
      <w:r>
        <w:rPr>
          <w:color w:val="000000" w:themeColor="text1"/>
          <w:sz w:val="24"/>
          <w:szCs w:val="24"/>
          <w:highlight w:val="none"/>
          <w14:textFill>
            <w14:solidFill>
              <w14:schemeClr w14:val="tx1"/>
            </w14:solidFill>
          </w14:textFill>
        </w:rPr>
        <w:t>：5分；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针对项目实际情况，有较为先进、具体、完整、可行的实施方案和措施，措施</w:t>
      </w:r>
      <w:r>
        <w:rPr>
          <w:color w:val="000000" w:themeColor="text1"/>
          <w:kern w:val="0"/>
          <w:sz w:val="24"/>
          <w:szCs w:val="24"/>
          <w:highlight w:val="none"/>
          <w14:textFill>
            <w14:solidFill>
              <w14:schemeClr w14:val="tx1"/>
            </w14:solidFill>
          </w14:textFill>
        </w:rPr>
        <w:t>完全满足采购需求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针对项目实际情况，实施方案和措施表述一般，措施</w:t>
      </w:r>
      <w:r>
        <w:rPr>
          <w:color w:val="000000" w:themeColor="text1"/>
          <w:kern w:val="0"/>
          <w:sz w:val="24"/>
          <w:szCs w:val="24"/>
          <w:highlight w:val="none"/>
          <w14:textFill>
            <w14:solidFill>
              <w14:schemeClr w14:val="tx1"/>
            </w14:solidFill>
          </w14:textFill>
        </w:rPr>
        <w:t>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安全保证措施</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（9）各工序的协调措施（3分）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针对各工序的协调措施实际情况，有先进、具体、完整、可行的实施方案和措施，采用的协调方法正确、清晰，措施</w:t>
      </w:r>
      <w:r>
        <w:rPr>
          <w:color w:val="000000" w:themeColor="text1"/>
          <w:kern w:val="0"/>
          <w:sz w:val="24"/>
          <w:szCs w:val="24"/>
          <w:highlight w:val="none"/>
          <w14:textFill>
            <w14:solidFill>
              <w14:schemeClr w14:val="tx1"/>
            </w14:solidFill>
          </w14:textFill>
        </w:rPr>
        <w:t>优于采购需求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针对各工序的协调措施实际情况，有较为先进、具体、完整、可行的实施方案和措施，采用的协调方法较为正确、清晰，措施</w:t>
      </w:r>
      <w:r>
        <w:rPr>
          <w:color w:val="000000" w:themeColor="text1"/>
          <w:kern w:val="0"/>
          <w:sz w:val="24"/>
          <w:szCs w:val="24"/>
          <w:highlight w:val="none"/>
          <w14:textFill>
            <w14:solidFill>
              <w14:schemeClr w14:val="tx1"/>
            </w14:solidFill>
          </w14:textFill>
        </w:rPr>
        <w:t>完全满足采购需求</w:t>
      </w:r>
      <w:r>
        <w:rPr>
          <w:color w:val="000000" w:themeColor="text1"/>
          <w:sz w:val="24"/>
          <w:szCs w:val="24"/>
          <w:highlight w:val="none"/>
          <w14:textFill>
            <w14:solidFill>
              <w14:schemeClr w14:val="tx1"/>
            </w14:solidFill>
          </w14:textFill>
        </w:rPr>
        <w:t>：2分；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针对各工序的协调措施实际情况，实施方案和措施表述一般，协调方法一般，措施</w:t>
      </w:r>
      <w:r>
        <w:rPr>
          <w:color w:val="000000" w:themeColor="text1"/>
          <w:kern w:val="0"/>
          <w:sz w:val="24"/>
          <w:szCs w:val="24"/>
          <w:highlight w:val="none"/>
          <w14:textFill>
            <w14:solidFill>
              <w14:schemeClr w14:val="tx1"/>
            </w14:solidFill>
          </w14:textFill>
        </w:rPr>
        <w:t>基本满足采购需求</w:t>
      </w:r>
      <w:r>
        <w:rPr>
          <w:color w:val="000000" w:themeColor="text1"/>
          <w:sz w:val="24"/>
          <w:szCs w:val="24"/>
          <w:highlight w:val="none"/>
          <w14:textFill>
            <w14:solidFill>
              <w14:schemeClr w14:val="tx1"/>
            </w14:solidFill>
          </w14:textFill>
        </w:rPr>
        <w:t>：1分；</w:t>
      </w:r>
    </w:p>
    <w:p>
      <w:pPr>
        <w:spacing w:line="36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各工序的协调措施</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（10）冬、雨季施工措施（3分）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针对冬、雨季施工措施实际情况，有先进、具体、完整、可行的实施方案和措施，措施</w:t>
      </w:r>
      <w:r>
        <w:rPr>
          <w:color w:val="000000" w:themeColor="text1"/>
          <w:kern w:val="0"/>
          <w:sz w:val="24"/>
          <w:szCs w:val="24"/>
          <w:highlight w:val="none"/>
          <w14:textFill>
            <w14:solidFill>
              <w14:schemeClr w14:val="tx1"/>
            </w14:solidFill>
          </w14:textFill>
        </w:rPr>
        <w:t>优于采购需求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针对冬、雨季施工措施实际情况，有较为先进、具体、完整、可行的实施方案和措施，措施</w:t>
      </w:r>
      <w:r>
        <w:rPr>
          <w:color w:val="000000" w:themeColor="text1"/>
          <w:kern w:val="0"/>
          <w:sz w:val="24"/>
          <w:szCs w:val="24"/>
          <w:highlight w:val="none"/>
          <w14:textFill>
            <w14:solidFill>
              <w14:schemeClr w14:val="tx1"/>
            </w14:solidFill>
          </w14:textFill>
        </w:rPr>
        <w:t>完全满足采购需求</w:t>
      </w:r>
      <w:r>
        <w:rPr>
          <w:color w:val="000000" w:themeColor="text1"/>
          <w:sz w:val="24"/>
          <w:szCs w:val="24"/>
          <w:highlight w:val="none"/>
          <w14:textFill>
            <w14:solidFill>
              <w14:schemeClr w14:val="tx1"/>
            </w14:solidFill>
          </w14:textFill>
        </w:rPr>
        <w:t>：2分；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针对冬、雨季施工措施实际情况，实施方案和措施表述一般，措施</w:t>
      </w:r>
      <w:r>
        <w:rPr>
          <w:color w:val="000000" w:themeColor="text1"/>
          <w:kern w:val="0"/>
          <w:sz w:val="24"/>
          <w:szCs w:val="24"/>
          <w:highlight w:val="none"/>
          <w14:textFill>
            <w14:solidFill>
              <w14:schemeClr w14:val="tx1"/>
            </w14:solidFill>
          </w14:textFill>
        </w:rPr>
        <w:t>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冬、雨季施工措施</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（11）文明施工措施（3分）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针对施工现场文明施工措施实际情况，有先进、具体、完整、可行的实施措施，措施</w:t>
      </w:r>
      <w:r>
        <w:rPr>
          <w:color w:val="000000" w:themeColor="text1"/>
          <w:kern w:val="0"/>
          <w:sz w:val="24"/>
          <w:szCs w:val="24"/>
          <w:highlight w:val="none"/>
          <w14:textFill>
            <w14:solidFill>
              <w14:schemeClr w14:val="tx1"/>
            </w14:solidFill>
          </w14:textFill>
        </w:rPr>
        <w:t>优于采购需求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针对施工现场文明施工措施实际情况，有较为先进、具体、完整、可行的实施措施，措施</w:t>
      </w:r>
      <w:r>
        <w:rPr>
          <w:color w:val="000000" w:themeColor="text1"/>
          <w:kern w:val="0"/>
          <w:sz w:val="24"/>
          <w:szCs w:val="24"/>
          <w:highlight w:val="none"/>
          <w14:textFill>
            <w14:solidFill>
              <w14:schemeClr w14:val="tx1"/>
            </w14:solidFill>
          </w14:textFill>
        </w:rPr>
        <w:t>完全满足采购需求</w:t>
      </w:r>
      <w:r>
        <w:rPr>
          <w:color w:val="000000" w:themeColor="text1"/>
          <w:sz w:val="24"/>
          <w:szCs w:val="24"/>
          <w:highlight w:val="none"/>
          <w14:textFill>
            <w14:solidFill>
              <w14:schemeClr w14:val="tx1"/>
            </w14:solidFill>
          </w14:textFill>
        </w:rPr>
        <w:t>：2分；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针对施工现场文明施工措施实际情况，实施措施表述一般，措施</w:t>
      </w:r>
      <w:r>
        <w:rPr>
          <w:color w:val="000000" w:themeColor="text1"/>
          <w:kern w:val="0"/>
          <w:sz w:val="24"/>
          <w:szCs w:val="24"/>
          <w:highlight w:val="none"/>
          <w14:textFill>
            <w14:solidFill>
              <w14:schemeClr w14:val="tx1"/>
            </w14:solidFill>
          </w14:textFill>
        </w:rPr>
        <w:t>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文明施工措施</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（12）施工现场环保措施（3分）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针对施工现场环保措施实际情况，有先进、具体、完整、可行的实施措施，措施</w:t>
      </w:r>
      <w:r>
        <w:rPr>
          <w:color w:val="000000" w:themeColor="text1"/>
          <w:kern w:val="0"/>
          <w:sz w:val="24"/>
          <w:szCs w:val="24"/>
          <w:highlight w:val="none"/>
          <w14:textFill>
            <w14:solidFill>
              <w14:schemeClr w14:val="tx1"/>
            </w14:solidFill>
          </w14:textFill>
        </w:rPr>
        <w:t>优于采购需求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针对施工现场环保措施实际情况，有较为先进、具体、完整、可行的实施措施，措施</w:t>
      </w:r>
      <w:r>
        <w:rPr>
          <w:color w:val="000000" w:themeColor="text1"/>
          <w:kern w:val="0"/>
          <w:sz w:val="24"/>
          <w:szCs w:val="24"/>
          <w:highlight w:val="none"/>
          <w14:textFill>
            <w14:solidFill>
              <w14:schemeClr w14:val="tx1"/>
            </w14:solidFill>
          </w14:textFill>
        </w:rPr>
        <w:t>完全满足采购需求</w:t>
      </w:r>
      <w:r>
        <w:rPr>
          <w:color w:val="000000" w:themeColor="text1"/>
          <w:sz w:val="24"/>
          <w:szCs w:val="24"/>
          <w:highlight w:val="none"/>
          <w14:textFill>
            <w14:solidFill>
              <w14:schemeClr w14:val="tx1"/>
            </w14:solidFill>
          </w14:textFill>
        </w:rPr>
        <w:t>：2分；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针对施工现场环保措施实际情况，实施措施表述一般，措施</w:t>
      </w:r>
      <w:r>
        <w:rPr>
          <w:color w:val="000000" w:themeColor="text1"/>
          <w:kern w:val="0"/>
          <w:sz w:val="24"/>
          <w:szCs w:val="24"/>
          <w:highlight w:val="none"/>
          <w14:textFill>
            <w14:solidFill>
              <w14:schemeClr w14:val="tx1"/>
            </w14:solidFill>
          </w14:textFill>
        </w:rPr>
        <w:t>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工现场环保措施</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（13）施工现场维护措施（3分）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针对施工现场维护措施实际情况，有先进、具体、完整、可行的实施措施，措施</w:t>
      </w:r>
      <w:r>
        <w:rPr>
          <w:color w:val="000000" w:themeColor="text1"/>
          <w:kern w:val="0"/>
          <w:sz w:val="24"/>
          <w:szCs w:val="24"/>
          <w:highlight w:val="none"/>
          <w14:textFill>
            <w14:solidFill>
              <w14:schemeClr w14:val="tx1"/>
            </w14:solidFill>
          </w14:textFill>
        </w:rPr>
        <w:t>优于采购需求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针对施工现场维护措施实际情况，有较为先进、具体、完整、可行的实施措施，措施</w:t>
      </w:r>
      <w:r>
        <w:rPr>
          <w:color w:val="000000" w:themeColor="text1"/>
          <w:kern w:val="0"/>
          <w:sz w:val="24"/>
          <w:szCs w:val="24"/>
          <w:highlight w:val="none"/>
          <w14:textFill>
            <w14:solidFill>
              <w14:schemeClr w14:val="tx1"/>
            </w14:solidFill>
          </w14:textFill>
        </w:rPr>
        <w:t>完全满足采购需求</w:t>
      </w:r>
      <w:r>
        <w:rPr>
          <w:color w:val="000000" w:themeColor="text1"/>
          <w:sz w:val="24"/>
          <w:szCs w:val="24"/>
          <w:highlight w:val="none"/>
          <w14:textFill>
            <w14:solidFill>
              <w14:schemeClr w14:val="tx1"/>
            </w14:solidFill>
          </w14:textFill>
        </w:rPr>
        <w:t>：2分；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针对施工现场维护措施实际情况，实施措施表述一般，措施</w:t>
      </w:r>
      <w:r>
        <w:rPr>
          <w:color w:val="000000" w:themeColor="text1"/>
          <w:kern w:val="0"/>
          <w:sz w:val="24"/>
          <w:szCs w:val="24"/>
          <w:highlight w:val="none"/>
          <w14:textFill>
            <w14:solidFill>
              <w14:schemeClr w14:val="tx1"/>
            </w14:solidFill>
          </w14:textFill>
        </w:rPr>
        <w:t>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施工现场维护措施</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（14）应急预案（3分）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针对本工程应急救援实际情况，有先进、具体、完整、可行的实施方案和措施，方案</w:t>
      </w:r>
      <w:r>
        <w:rPr>
          <w:color w:val="000000" w:themeColor="text1"/>
          <w:kern w:val="0"/>
          <w:sz w:val="24"/>
          <w:szCs w:val="24"/>
          <w:highlight w:val="none"/>
          <w14:textFill>
            <w14:solidFill>
              <w14:schemeClr w14:val="tx1"/>
            </w14:solidFill>
          </w14:textFill>
        </w:rPr>
        <w:t>优于采购需求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针对本工程应急救援实际情况，有较为先进、具体、完整、可行的实施方案和措施，方案</w:t>
      </w:r>
      <w:r>
        <w:rPr>
          <w:color w:val="000000" w:themeColor="text1"/>
          <w:kern w:val="0"/>
          <w:sz w:val="24"/>
          <w:szCs w:val="24"/>
          <w:highlight w:val="none"/>
          <w14:textFill>
            <w14:solidFill>
              <w14:schemeClr w14:val="tx1"/>
            </w14:solidFill>
          </w14:textFill>
        </w:rPr>
        <w:t>完全满足采购需求</w:t>
      </w:r>
      <w:r>
        <w:rPr>
          <w:color w:val="000000" w:themeColor="text1"/>
          <w:sz w:val="24"/>
          <w:szCs w:val="24"/>
          <w:highlight w:val="none"/>
          <w14:textFill>
            <w14:solidFill>
              <w14:schemeClr w14:val="tx1"/>
            </w14:solidFill>
          </w14:textFill>
        </w:rPr>
        <w:t>：2分；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针对本工程应急救援实际情况，实施方案和措施表述一般，方案</w:t>
      </w:r>
      <w:r>
        <w:rPr>
          <w:color w:val="000000" w:themeColor="text1"/>
          <w:kern w:val="0"/>
          <w:sz w:val="24"/>
          <w:szCs w:val="24"/>
          <w:highlight w:val="none"/>
          <w14:textFill>
            <w14:solidFill>
              <w14:schemeClr w14:val="tx1"/>
            </w14:solidFill>
          </w14:textFill>
        </w:rPr>
        <w:t>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应急预案</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（15）工程交验后服务措施（3分）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针对工程交验后服务实际情况，有先进、具体、完整、可行的实施方案和措施，能够最大程度达到用户满意，措施</w:t>
      </w:r>
      <w:r>
        <w:rPr>
          <w:color w:val="000000" w:themeColor="text1"/>
          <w:kern w:val="0"/>
          <w:sz w:val="24"/>
          <w:szCs w:val="24"/>
          <w:highlight w:val="none"/>
          <w14:textFill>
            <w14:solidFill>
              <w14:schemeClr w14:val="tx1"/>
            </w14:solidFill>
          </w14:textFill>
        </w:rPr>
        <w:t>优于采购需求</w:t>
      </w:r>
      <w:r>
        <w:rPr>
          <w:color w:val="000000" w:themeColor="text1"/>
          <w:sz w:val="24"/>
          <w:szCs w:val="24"/>
          <w:highlight w:val="none"/>
          <w14:textFill>
            <w14:solidFill>
              <w14:schemeClr w14:val="tx1"/>
            </w14:solidFill>
          </w14:textFill>
        </w:rPr>
        <w:t>：3分；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针对工程交验后服务实际情况，有较为先进、具体、完整、可行的实施方案和措施，能够较大程度达到用户满意，措施</w:t>
      </w:r>
      <w:r>
        <w:rPr>
          <w:color w:val="000000" w:themeColor="text1"/>
          <w:kern w:val="0"/>
          <w:sz w:val="24"/>
          <w:szCs w:val="24"/>
          <w:highlight w:val="none"/>
          <w14:textFill>
            <w14:solidFill>
              <w14:schemeClr w14:val="tx1"/>
            </w14:solidFill>
          </w14:textFill>
        </w:rPr>
        <w:t>完全满足采购需求</w:t>
      </w:r>
      <w:r>
        <w:rPr>
          <w:color w:val="000000" w:themeColor="text1"/>
          <w:sz w:val="24"/>
          <w:szCs w:val="24"/>
          <w:highlight w:val="none"/>
          <w14:textFill>
            <w14:solidFill>
              <w14:schemeClr w14:val="tx1"/>
            </w14:solidFill>
          </w14:textFill>
        </w:rPr>
        <w:t>：2分；</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针对工程交验后服务实际情况，实施方案和措施表述一般，能够基本达到用户满意，措施</w:t>
      </w:r>
      <w:r>
        <w:rPr>
          <w:color w:val="000000" w:themeColor="text1"/>
          <w:kern w:val="0"/>
          <w:sz w:val="24"/>
          <w:szCs w:val="24"/>
          <w:highlight w:val="none"/>
          <w14:textFill>
            <w14:solidFill>
              <w14:schemeClr w14:val="tx1"/>
            </w14:solidFill>
          </w14:textFill>
        </w:rPr>
        <w:t>基本满足采购需求</w:t>
      </w:r>
      <w:r>
        <w:rPr>
          <w:color w:val="000000" w:themeColor="text1"/>
          <w:sz w:val="24"/>
          <w:szCs w:val="24"/>
          <w:highlight w:val="none"/>
          <w14:textFill>
            <w14:solidFill>
              <w14:schemeClr w14:val="tx1"/>
            </w14:solidFill>
          </w14:textFill>
        </w:rPr>
        <w:t>：1分；</w:t>
      </w:r>
    </w:p>
    <w:p>
      <w:pPr>
        <w:spacing w:line="360" w:lineRule="auto"/>
        <w:ind w:firstLine="480" w:firstLineChars="200"/>
        <w:outlineLvl w:val="0"/>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工程交验后服务措施</w:t>
      </w:r>
      <w:r>
        <w:rPr>
          <w:color w:val="000000" w:themeColor="text1"/>
          <w:kern w:val="0"/>
          <w:sz w:val="24"/>
          <w:szCs w:val="24"/>
          <w:highlight w:val="none"/>
          <w14:textFill>
            <w14:solidFill>
              <w14:schemeClr w14:val="tx1"/>
            </w14:solidFill>
          </w14:textFill>
        </w:rPr>
        <w:t>不能满足采购需求</w:t>
      </w:r>
      <w:r>
        <w:rPr>
          <w:color w:val="000000" w:themeColor="text1"/>
          <w:sz w:val="24"/>
          <w:szCs w:val="24"/>
          <w:highlight w:val="none"/>
          <w14:textFill>
            <w14:solidFill>
              <w14:schemeClr w14:val="tx1"/>
            </w14:solidFill>
          </w14:textFill>
        </w:rPr>
        <w:t>：0分。</w:t>
      </w:r>
    </w:p>
    <w:p>
      <w:pPr>
        <w:spacing w:line="360" w:lineRule="auto"/>
        <w:ind w:firstLine="480" w:firstLineChars="200"/>
        <w:outlineLvl w:val="0"/>
        <w:rPr>
          <w:color w:val="000000" w:themeColor="text1"/>
          <w:sz w:val="24"/>
          <w:highlight w:val="none"/>
          <w:lang w:val="zh-CN"/>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项目需求书</w:t>
      </w:r>
    </w:p>
    <w:p>
      <w:pPr>
        <w:spacing w:line="360" w:lineRule="auto"/>
        <w:ind w:firstLine="480"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一、项目背景</w:t>
      </w:r>
    </w:p>
    <w:p>
      <w:pPr>
        <w:spacing w:line="360" w:lineRule="auto"/>
        <w:ind w:firstLine="480" w:firstLineChars="200"/>
        <w:outlineLvl w:val="0"/>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天津市职工疗休养中心消防设备更新与迁移项目，北戴河院区金海湾度假村消防设备是独立一套，需单独配备消防工作人员管理。现计划金海湾度假村消防设备迁移至中院北门卫，与中院消防设备链接一起，一是达到统一管理，二是节省消防工作人员的开销。</w:t>
      </w:r>
    </w:p>
    <w:p>
      <w:pPr>
        <w:spacing w:line="360" w:lineRule="auto"/>
        <w:ind w:firstLine="480" w:firstLineChars="200"/>
        <w:outlineLvl w:val="0"/>
        <w:rPr>
          <w:rFonts w:hint="eastAsia" w:eastAsia="宋体"/>
          <w:color w:val="000000" w:themeColor="text1"/>
          <w:kern w:val="0"/>
          <w:sz w:val="24"/>
          <w:highlight w:val="none"/>
          <w:lang w:eastAsia="zh-CN"/>
          <w14:textFill>
            <w14:solidFill>
              <w14:schemeClr w14:val="tx1"/>
            </w14:solidFill>
          </w14:textFill>
        </w:rPr>
      </w:pPr>
      <w:r>
        <w:rPr>
          <w:color w:val="000000" w:themeColor="text1"/>
          <w:kern w:val="0"/>
          <w:sz w:val="24"/>
          <w:highlight w:val="none"/>
          <w14:textFill>
            <w14:solidFill>
              <w14:schemeClr w14:val="tx1"/>
            </w14:solidFill>
          </w14:textFill>
        </w:rPr>
        <w:t>本项目属于建筑业</w:t>
      </w:r>
      <w:r>
        <w:rPr>
          <w:rFonts w:hint="eastAsia"/>
          <w:color w:val="000000" w:themeColor="text1"/>
          <w:kern w:val="0"/>
          <w:sz w:val="24"/>
          <w:highlight w:val="none"/>
          <w:lang w:eastAsia="zh-CN"/>
          <w14:textFill>
            <w14:solidFill>
              <w14:schemeClr w14:val="tx1"/>
            </w14:solidFill>
          </w14:textFill>
        </w:rPr>
        <w:t>。</w:t>
      </w:r>
    </w:p>
    <w:p>
      <w:pPr>
        <w:spacing w:line="360" w:lineRule="auto"/>
        <w:ind w:firstLine="480"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w:t>
      </w:r>
      <w:r>
        <w:rPr>
          <w:color w:val="000000" w:themeColor="text1"/>
          <w:kern w:val="0"/>
          <w:sz w:val="24"/>
          <w:highlight w:val="none"/>
          <w14:textFill>
            <w14:solidFill>
              <w14:schemeClr w14:val="tx1"/>
            </w14:solidFill>
          </w14:textFill>
        </w:rPr>
        <w:t>具体内容详见工程量清单。</w:t>
      </w:r>
    </w:p>
    <w:p>
      <w:pPr>
        <w:spacing w:line="360" w:lineRule="auto"/>
        <w:ind w:firstLine="480" w:firstLineChars="200"/>
        <w:jc w:val="left"/>
        <w:rPr>
          <w:color w:val="000000" w:themeColor="text1"/>
          <w:sz w:val="24"/>
          <w:highlight w:val="none"/>
          <w14:textFill>
            <w14:solidFill>
              <w14:schemeClr w14:val="tx1"/>
            </w14:solidFill>
          </w14:textFill>
        </w:rPr>
      </w:pPr>
    </w:p>
    <w:p>
      <w:pPr>
        <w:pStyle w:val="12"/>
        <w:rPr>
          <w:rFonts w:ascii="Times New Roman" w:hAnsi="Times New Roman"/>
          <w:color w:val="000000" w:themeColor="text1"/>
          <w:highlight w:val="none"/>
          <w:lang w:val="en-US"/>
          <w14:textFill>
            <w14:solidFill>
              <w14:schemeClr w14:val="tx1"/>
            </w14:solidFill>
          </w14:textFill>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第三部分  供应商须知</w:t>
      </w:r>
      <w:bookmarkEnd w:id="1"/>
    </w:p>
    <w:p>
      <w:pPr>
        <w:pStyle w:val="2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bookmarkStart w:id="7" w:name="_Toc411426751"/>
    </w:p>
    <w:p>
      <w:pPr>
        <w:pStyle w:val="2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根据《中华人民共和国政府采购法》、《中华人民共和国政府采购法实施条例》等有关法律、法规和规章的规定，本采购项目已具备竞争性磋商条件。</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本竞争性磋商文件仅适用于磋商邀请函中所叙述工程的采购。</w:t>
      </w:r>
    </w:p>
    <w:p>
      <w:pPr>
        <w:pStyle w:val="27"/>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参与磋商活动的所有各方，对在参与磋商过程中获悉的国家、商业和技术秘密以及其它依法应当保密的内容，均负有保密义务，违者应对由此造成的后果承担全部法律责任。</w:t>
      </w:r>
    </w:p>
    <w:p>
      <w:pPr>
        <w:pStyle w:val="27"/>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pPr>
        <w:pStyle w:val="27"/>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“采购人”系指本次磋商活动的采购单位。“采购代理机构”系指组织本次磋商活动的机构，即“天津市政府采购中心”。</w:t>
      </w:r>
    </w:p>
    <w:p>
      <w:pPr>
        <w:pStyle w:val="27"/>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“投标人”系指向采购代理机构提交响应文件的供应商。</w:t>
      </w:r>
    </w:p>
    <w:p>
      <w:pPr>
        <w:pStyle w:val="27"/>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“服务”系指按本竞争性磋商文件规定供应商须承担的相关服务和竞争性磋商文件中规定供应商应承担的相关义务。</w:t>
      </w:r>
    </w:p>
    <w:p>
      <w:pPr>
        <w:pStyle w:val="27"/>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本次磋商的最终解释权归为采购人、采购代理机构。</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符合《中华人民共和国政府采购法》第二十二条供应商参加政府采购活动应当具备的条件及其他有关法律、法规关于供应商的有关规定，有能力提供磋商采购工程的供应商。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4.2 符合《磋商邀请函》中关于供应商资格要求（实质性要求）的规定。</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关于联合体参与磋商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《磋商邀请函》接受联合体参与磋商的：</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磋商邀请函》规定的供应商资格条件（实质性要求）。</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color w:val="000000" w:themeColor="text1"/>
          <w:highlight w:val="none"/>
          <w14:textFill>
            <w14:solidFill>
              <w14:schemeClr w14:val="tx1"/>
            </w14:solidFill>
          </w14:textFill>
        </w:rPr>
        <w:t>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（4）下载</w:t>
      </w:r>
      <w:r>
        <w:rPr>
          <w:rFonts w:ascii="Times New Roman" w:hAnsi="Times New Roman" w:eastAsia="宋体" w:cs="Times New Roman"/>
          <w:color w:val="000000" w:themeColor="text1"/>
          <w:highlight w:val="none"/>
          <w14:textFill>
            <w14:solidFill>
              <w14:schemeClr w14:val="tx1"/>
            </w14:solidFill>
          </w14:textFill>
        </w:rPr>
        <w:t>竞争性磋商</w:t>
      </w:r>
      <w:r>
        <w:rPr>
          <w:rFonts w:ascii="Times New Roman" w:hAnsi="Times New Roman" w:eastAsia="宋体" w:cs="Times New Roman"/>
          <w:color w:val="000000" w:themeColor="text1"/>
          <w:highlight w:val="none"/>
          <w14:textFill>
            <w14:solidFill>
              <w14:schemeClr w14:val="tx1"/>
            </w14:solidFill>
          </w14:textFill>
        </w:rPr>
        <w:t>文件后如放弃投标，请于网上应答截止时间之前取消</w:t>
      </w:r>
      <w:r>
        <w:rPr>
          <w:rFonts w:ascii="Times New Roman" w:hAnsi="Times New Roman" w:eastAsia="宋体" w:cs="Times New Roman"/>
          <w:color w:val="000000" w:themeColor="text1"/>
          <w:highlight w:val="none"/>
          <w14:textFill>
            <w14:solidFill>
              <w14:schemeClr w14:val="tx1"/>
            </w14:solidFill>
          </w14:textFill>
        </w:rPr>
        <w:t>参与磋商</w:t>
      </w:r>
      <w:r>
        <w:rPr>
          <w:rFonts w:ascii="Times New Roman" w:hAnsi="Times New Roman" w:eastAsia="宋体" w:cs="Times New Roman"/>
          <w:color w:val="000000" w:themeColor="text1"/>
          <w:highlight w:val="none"/>
          <w14:textFill>
            <w14:solidFill>
              <w14:schemeClr w14:val="tx1"/>
            </w14:solidFill>
          </w14:textFill>
        </w:rPr>
        <w:t>。</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（5）联合体参与磋商的，应以主体方名义提交投标保证金（如有），对联合体各方均具有约束力。</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w:t>
      </w:r>
      <w:r>
        <w:rPr>
          <w:rFonts w:ascii="Times New Roman" w:hAnsi="Times New Roman" w:eastAsia="宋体" w:cs="Times New Roman"/>
          <w:color w:val="000000" w:themeColor="text1"/>
          <w:highlight w:val="none"/>
          <w14:textFill>
            <w14:solidFill>
              <w14:schemeClr w14:val="tx1"/>
            </w14:solidFill>
          </w14:textFill>
        </w:rPr>
        <w:t>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r>
        <w:rPr>
          <w:rFonts w:ascii="Times New Roman" w:hAnsi="Times New Roman" w:eastAsia="宋体" w:cs="Times New Roman"/>
          <w:color w:val="000000" w:themeColor="text1"/>
          <w:highlight w:val="none"/>
          <w14:textFill>
            <w14:solidFill>
              <w14:schemeClr w14:val="tx1"/>
            </w14:solidFill>
          </w14:textFill>
        </w:rPr>
        <w:t>。如同时参加，则评审时将同时被拒绝。</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4.5 关于分公司参与磋商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4.6 关于提供前期服务的供应商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4.7 关于中小微企业参与磋商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中小微企业是指符合《政府采购促进中小企业发展管理办法》（财库[2020]46号）规定的供应商。中小微企业参与磋商应提供《中小企业声明函》。</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合格的工程和相关服务</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对所提供的工程和相关服务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除《磋商项目需求》有特殊规定外，投标人提供的工程和相关服务应当是全新的、未使用过的，工程和相关服务应当符合竞争性磋商文件的要求，并且其质量完全符合国家标准、行业标准或地方标准。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5.3 投标人应当说明投标工程和相关服务的来源地，如投标的工程和相关服务非投标人生产或制造的，则验收时有义务提供其从合法途径获得该工程和相关服务中货物的相关证明。</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无论投标过程中的做法和结果如何，投标人自行承担所有与参加磋商有关的费用。</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采购信息公告、更正公告、成交结果公告、终止公告等与磋商活动有关的通知，采购人、采购代理机构均将通过“天津市政府采购网”和“天津市政府采购中心网”公开发布。投标人在参与本采购项目磋商活动期间，请及时关注上述媒体和天津市政府采购中心招投标系统“查看项目文件”的相关信息。因没有及时关注而未能如期获取相关信息，投标人自行承担由此可能产生的风险。</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 询问与质疑</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8.2 询问</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（1）询问可以采取电话、当面或书面等形式。</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8.3 质疑</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www.tjgp.gov.cn）“下载专区”中的“质疑函格式文本”）。质疑函应当明确阐述采购文件、采购过程、采购结果使自己的合法权益受到损害的法律依据、事实依据、相关证明材料及证据来源，以便于有关单位调查、答复和处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针对询问或质疑的答复内容需要修改采购文件的，其修改内容应当以天津市政府采购网发布的更正公告为准。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本《供应商须知》的条款如与《磋商邀请函》、《磋商项目需求》就同一内容的表述不一致的，以《磋商邀请函》、《磋商项目需求》中规定的内容为准。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27"/>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竞争性磋商文件</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竞争性磋商文件的构成</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 竞争性磋商文件由下述部分组成：</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（1）磋商邀请函；</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（2）磋商项目要求；</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（3）供应商须知；</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（4）合同草案；</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（5）响应文件格式；</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（6）竞争性磋商文件的更正公告内容（如有）。</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除非有特殊要求，竞争性磋商文件不单独提供磋商项目使用地的自然环境、气候条件、公用设施等情况，投标人被视为熟悉上述与履行合同有关的一切情况。</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10.3 《磋商项目需求》加注“</w:t>
      </w:r>
      <w:r>
        <w:rPr>
          <w:rFonts w:hint="eastAsia" w:ascii="宋体" w:hAnsi="宋体" w:eastAsia="宋体" w:cs="宋体"/>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”号条款为实质性技术条款，不得出现负偏离，发生负偏离即做无效标处理。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竞争性磋商文件中涉及的参照品牌、型号仅起说明作用，并没有任何限制性，投标人在投标中可以选用其他替代品牌或型号，但这些替代要实质上优于或相当于磋商要求。</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10.5 除竞争性磋商文件另有规定外，竞争性磋商文件中要求的每一项产品只允许一种产品投标，每一项产品的采购数量不允许变更。</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竞争性磋商文件的澄清和修改</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提交首次响应文件截止之日前，采购人、采购代理机构需要对磋商文件进行补充或修改的，采购人、采购代理机构将会通过“天津市政府采购网”、“天津市政府采购中心网”以更正公告形式发布。</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更正公告的内容为竞争性磋商文件的组成部分。当竞争性磋商文件与更正公告就同一内容的表述不一致时，以最后发出的更正公告内容为准。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答疑会和踏勘现场</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采购人、采购代理机构召开答疑会的，所有投标人应按《磋商邀请函》规定的时间、地点参加答疑会。投标人如不参加，其风险由投标人自行承担，采购人、采购代理机构不承担任何责任。</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采购人、采购代理机构组织踏勘现场的，所有投标人按《磋商邀请函》规定的时间、地点参加踏勘现场活动。投标人如不参加，其风险由投标人自行承担，采购人、采购代理机构不承担任何责任。</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2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响应文件的编制</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投标人应根据磋商项目需求和响应文件格式编制响应文件，保证其真实有效，并承担相应的法律责任。</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除竞争性磋商文件中另有规定外，响应文件所使用的计量单位均应使用中华人民共和国法定计量单位。</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响应文件格式</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投标人应按竞争性磋商文件第五部分提供的响应文件格式完整填写。因不按要求编制而引起系统无法检索、读取相关信息时，其后果由投标人自行承担。</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投标人可对本竞争性磋商文件“磋商项目要求”所列的所有货物进行投标，也可只对其中一包或几包的货物投标；若无特殊说明，每一包的内容不得分项投标，原则上按照整包确定成交供应商。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15.3 如投标多个包的，要求按包分别独立制作响应文件。</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15.4 响应文件（包括封面和目录）的每一页，从封面开始按阿拉伯数字1、2、3…顺序编制页码。</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响应文件的组成</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按照《磋商邀请函》规定的时间分别上传加盖电子签章的两阶段电子响应文件。</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报价</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17.1 报价书、报价分项一览表等各表中的报价，若无特殊说明应采用人民币填报。</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17.2 报价是</w:t>
      </w:r>
      <w:r>
        <w:rPr>
          <w:rFonts w:ascii="Times New Roman" w:hAnsi="Times New Roman" w:cs="Times New Roman"/>
          <w:color w:val="000000" w:themeColor="text1"/>
          <w:highlight w:val="none"/>
          <w14:textFill>
            <w14:solidFill>
              <w14:schemeClr w14:val="tx1"/>
            </w14:solidFill>
          </w14:textFill>
        </w:rPr>
        <w:t>为完成竞争性磋商文件规定的一切工作所需的全部费用的最终优惠价格。</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17.3 除《磋商项目需求》中说明并允许外，投标的每一个货物、服务的单项报价以及采购项目的投标总价均只允许有一个报价，任何有选择的报价，采购人、采购代理机构均将予以拒绝。</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投标人资格证明文件</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投标人必须提交证明其有资格进行投标和有能力履行合同的文件，作为响应文件的一部分。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（1）《磋商邀请函》中规定的供应商资格要求（实质性要求）证明文件；</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（3）涉及本须知中“4. 合格的投标人”相关要求的，按其要求执行。</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技术响应文件</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投标人须提交证明其拟供工程符合竞争性磋商文件规定的技术响应文件，作为响应文件的一部分。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上述文件可以是文字资料、图纸或数据。</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19.3 响应文件中技术要求应达到或优于竞争性磋商文件中所列技术要求。投标人应注意竞争性磋商文件中所列技术指标仅列出了最低限度。</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投标保证金</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按照《磋商项目需求》要求执行。</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符合《政府采购法实施条例》和《政府采购竞争性磋商采购方式管理暂行办法》相关规定。</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磋商有效期</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磋商有效期为响应文件开启之日起60天。响应书中规定的有效期短于竞争性磋商文件规定的，其投标将被拒绝。</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响应文件的签署及规定</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22.1 响应文件应按《磋商项目需求》和《响应文件格式》如实编写，未尽事宜可自行补充。响应文件内容不完整、格式不符合导致响应文件被误读、漏读或者查找不到相关内容的，投标人自行承担由此产生的风险。</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22.2 投标人按照《磋商邀请函》的要求提交网上应答并分别</w:t>
      </w:r>
      <w:r>
        <w:rPr>
          <w:rFonts w:ascii="Times New Roman" w:hAnsi="Times New Roman" w:cs="Times New Roman" w:eastAsiaTheme="minorEastAsia"/>
          <w:color w:val="000000" w:themeColor="text1"/>
          <w:szCs w:val="32"/>
          <w:highlight w:val="none"/>
          <w14:textFill>
            <w14:solidFill>
              <w14:schemeClr w14:val="tx1"/>
            </w14:solidFill>
          </w14:textFill>
        </w:rPr>
        <w:t>上传加盖电子签章的第一、第二阶段电子响应文件（PDF格式）</w:t>
      </w:r>
      <w:r>
        <w:rPr>
          <w:rFonts w:ascii="Times New Roman" w:hAnsi="Times New Roman" w:eastAsia="宋体" w:cs="Times New Roman"/>
          <w:color w:val="000000" w:themeColor="text1"/>
          <w:highlight w:val="none"/>
          <w14:textFill>
            <w14:solidFill>
              <w14:schemeClr w14:val="tx1"/>
            </w14:solidFill>
          </w14:textFill>
        </w:rPr>
        <w:t>（以通过天津公共资源电子签章客户端正确读取签章信息为准）。加盖电子签章的电子响应文件应与网上应答填报内容一致。</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22.3 响应文件因模糊不清或表达不清所引起的后果由投标人自负。</w:t>
      </w:r>
    </w:p>
    <w:p>
      <w:pPr>
        <w:pStyle w:val="2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p>
    <w:p>
      <w:pPr>
        <w:pStyle w:val="2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响应文件的网上应答和提交</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投标人须于《磋商邀请函》规定的投标截止时间前提交网上应答并上传加盖电子签章的电子响应文件（以通过天津公共资源电子签章客户端正确读取签章信息为准）。具体方式：登陆天津市政府采购中心网（网址：www.tjgpc.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政务服务中心天津市政府采购中心窗口完成应答上传提交。</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制作和上传电子响应文件要求</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24.1 投标人须下载天津市政府采购中心网-下载中心-《远程招投标电子签章客户端用户使用说明及安装程序》。</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24.2 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PDF格式电子响应文件（以通过天津公共资源电子签章客户端正确读取签章信息为准），并于投标截止时间前上传至天津市政府采购中心招投标系统。</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特别提醒：</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响应文件上传准确、有效。</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24.3 投标人应保证电子响应文件清晰，便于识别，如因上传、扫描、格式等原因导致评审时受到影响，由投标人自行承担相应责任。</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24.4 未按规定提交网上应答和上传加盖电子签章的电子响应文件的投标将被拒绝。</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25. 投标人须承诺接受电子投标的方式，并自行承担由此带来的废标、无效投标的风险。</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 未按竞争性磋商文件的规定提交网上应答和上传加盖投标人电子签章的PDF格式电子响应文件（以通过天津公共资源电子签章客户端正确读取签章信息为准）的投标将被拒绝。</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2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磋商程序</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 磋商步骤</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磋商小组要求供应商澄清、说明或者更正响应文件应当以书面形式做出。</w:t>
      </w:r>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注：供应商法定代表人或其磋商代表人须携带身份证或其他有效身份证明原件参加磋商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对磋商文件做出的实质性变动是磋商文件的有效组成部分，磋商小组应当及时以书面形式同时通知所有参加磋商的供应商。</w:t>
      </w:r>
    </w:p>
    <w:p>
      <w:pPr>
        <w:pStyle w:val="27"/>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供应商应当按照磋商文件的变动情况和磋商小组的要求重新提交响应文件，</w:t>
      </w:r>
      <w:r>
        <w:rPr>
          <w:rFonts w:hint="eastAsia" w:ascii="Times New Roman" w:hAnsi="Times New Roman" w:eastAsia="宋体" w:cs="Times New Roman"/>
          <w:color w:val="000000" w:themeColor="text1"/>
          <w:kern w:val="2"/>
          <w:highlight w:val="none"/>
          <w14:textFill>
            <w14:solidFill>
              <w14:schemeClr w14:val="tx1"/>
            </w14:solidFill>
          </w14:textFill>
        </w:rPr>
        <w:t>应为PDF格式且</w:t>
      </w:r>
      <w:r>
        <w:rPr>
          <w:rFonts w:ascii="Times New Roman" w:hAnsi="Times New Roman" w:eastAsia="宋体" w:cs="Times New Roman"/>
          <w:color w:val="000000" w:themeColor="text1"/>
          <w:kern w:val="2"/>
          <w:highlight w:val="none"/>
          <w14:textFill>
            <w14:solidFill>
              <w14:schemeClr w14:val="tx1"/>
            </w14:solidFill>
          </w14:textFill>
        </w:rPr>
        <w:t>加盖</w:t>
      </w:r>
      <w:r>
        <w:rPr>
          <w:rFonts w:hint="eastAsia" w:ascii="Times New Roman" w:hAnsi="Times New Roman" w:eastAsia="宋体" w:cs="Times New Roman"/>
          <w:color w:val="000000" w:themeColor="text1"/>
          <w:kern w:val="2"/>
          <w:highlight w:val="none"/>
          <w14:textFill>
            <w14:solidFill>
              <w14:schemeClr w14:val="tx1"/>
            </w14:solidFill>
          </w14:textFill>
        </w:rPr>
        <w:t>电子签章</w:t>
      </w:r>
      <w:r>
        <w:rPr>
          <w:rFonts w:hint="eastAsia" w:ascii="Times New Roman" w:hAnsi="Times New Roman" w:eastAsia="宋体" w:cs="Times New Roman"/>
          <w:color w:val="000000" w:themeColor="text1"/>
          <w:highlight w:val="none"/>
          <w14:textFill>
            <w14:solidFill>
              <w14:schemeClr w14:val="tx1"/>
            </w14:solidFill>
          </w14:textFill>
        </w:rPr>
        <w:t>后于磋商小组规定的时间内通过天津市政府采购中心招投标系统“询标解答”上传至天津市政府采购中心招投标系统。</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未实质性响应磋商文件的响应文件按无效响应处理，磋商小组应当告知提交响应文件的供应商。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第四步：经磋商确定最终采购需求和提交最后报价的供应商后，由磋商小组采用综合评分法对提交最后报价的供应商的响应文件和最后报价进行综合评分。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27.5 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27.6 出现下列情形之一的，采购人或者采购代理机构应当终止竞争性磋商采购活动，发布项目终止公告并说明原因，重新开展采购活动：</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（1）因情况变化，不再符合规定的竞争性磋商采购方式适用情形的；</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（2）出现影响采购公正的违法、违规行为的；</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（3）除《政府采购竞争性磋商采购方式管理暂行办法》第二十一条第三款规定的情形外，在采购过程中符合要求的供应商或者报价未超过采购预算的供应商不足3家的。</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27.7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评审方法及标准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28.1 磋商小组将根据竞争性磋商文件确定的评审原则和评审方法对确定为实质上响应竞争性磋商文件要求的投标进行评估和比较。</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28.2 磋商小组应当按照客观、公正、审慎的原则，根据竞争性磋商文件规定的评审程序、评审方法和评审标准进行独立评审。</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28.3 竞争性磋商文件内容违反国家有关强制性规定的，磋商小组应当停止评审并向采购人或者采购代理机构说明情况。</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28.4 对竞争性磋商文件中描述有歧义或前后不一致的地方，磋商小组有权进行评判，但对同一条款的评判应适用于每个投标人。</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28.5 评审方法</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（3）按照《关于调整优化节能产品、环境标志产品政府采购执行机制的通知》（财库〔2019〕9号）文件要求，对</w:t>
      </w:r>
      <w:r>
        <w:rPr>
          <w:rFonts w:ascii="Times New Roman" w:hAnsi="Times New Roman" w:cs="Times New Roman"/>
          <w:color w:val="000000" w:themeColor="text1"/>
          <w:highlight w:val="none"/>
          <w14:textFill>
            <w14:solidFill>
              <w14:schemeClr w14:val="tx1"/>
            </w14:solidFill>
          </w14:textFill>
        </w:rPr>
        <w:t>政府采购节能、环境标志品目清单内的产品实施</w:t>
      </w:r>
      <w:r>
        <w:rPr>
          <w:rFonts w:ascii="Times New Roman" w:hAnsi="Times New Roman" w:eastAsia="宋体" w:cs="Times New Roman"/>
          <w:color w:val="000000" w:themeColor="text1"/>
          <w:highlight w:val="none"/>
          <w14:textFill>
            <w14:solidFill>
              <w14:schemeClr w14:val="tx1"/>
            </w14:solidFill>
          </w14:textFill>
        </w:rPr>
        <w:t>优先采购和强制采购的评标方法。</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（4）磋商小组审查产品资质或检测报告等相关文件符合性时，应综合考虑行业特点、交易习惯、采购需求最本质原义等情况，而不应以响应文件中产品名称与竞争性磋商文件产品名称是否一致作为审查的标准。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（5）成交候选供应商产生办法：按得分由高到低顺序确定成交候选供应商；得分相同的，按磋商报价由低到高顺序确定成交候选供应商；得分且磋商报价相同的，按技术指标优劣顺序确定成交候选供应商。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（6）采购人按成交候选供应商顺序确定成交供应商，或授权磋商小组按成交候选供应商顺序直接确定成交供应商。</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28.6 出现以下任何情形取消磋商资格：</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（1）响应文件未按竞争性磋商文件的要求加盖电子签章的；</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（2）磋商有效期短于竞争性磋商文件要求的；</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（3）响应文件中提供虚假材料的；</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（4）不能满足竞争性磋商文件中任何一条实质性要求或加注“</w:t>
      </w:r>
      <w:r>
        <w:rPr>
          <w:rFonts w:hint="eastAsia" w:ascii="宋体" w:hAnsi="宋体" w:eastAsia="宋体" w:cs="宋体"/>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”号条款出现负偏离或经磋商小组认定未实质性响应竞争性磋商文件要求的或响应内容不符合相关强制性规定的；</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（5）未按时进行网上解密或电子响应文件损坏、无效的；</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（6）磋商报价超出采购预算的；</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（7）存在串通情形的；</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w:t>
      </w:r>
      <w:r>
        <w:rPr>
          <w:rFonts w:hint="eastAsia" w:ascii="Times New Roman" w:hAnsi="Times New Roman" w:eastAsia="宋体" w:cs="Times New Roman"/>
          <w:color w:val="000000" w:themeColor="text1"/>
          <w:highlight w:val="none"/>
          <w14:textFill>
            <w14:solidFill>
              <w14:schemeClr w14:val="tx1"/>
            </w14:solidFill>
          </w14:textFill>
        </w:rPr>
        <w:t>参加同一合同项下投标的，相关投标均无效；</w:t>
      </w:r>
    </w:p>
    <w:p>
      <w:pPr>
        <w:pStyle w:val="27"/>
        <w:spacing w:line="360" w:lineRule="auto"/>
        <w:ind w:left="48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（9）其他法定响应无效的情形。</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其他注意事项</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在磋商期间，投标人不得向磋商小组成员或采购代理机构询问评审情况、施加任何影响，不得进行旨在影响评审结果的活动。</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pPr>
        <w:pStyle w:val="27"/>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本项目不接受赠品、回扣或者与采购无关的其他商品、服务。</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如果几个投标人所投整包产品为同一品牌时，在服务承诺符合竞争性磋商文件的情况下，报价最低的投标人入围评审阶段。</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27"/>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成交供应商的产生</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30.1 采购人可以事先授权磋商小组直接确定成交供应商。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30.2 采购人也可以按照《政府采购法》及其实施条例等法律法规的规定和竞争性磋商文件的要求确认成交供应商。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成交通知</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陆天津市政府采购中心网（网址：www.tjgpc.gov.cn）-”网上招投标”-“供应商登录”-“市级集采机构入口”，并从“供应商系统”的“查看项目文件”中获取）。《成交通知书》一经发出即发生法律效力。</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签订合同</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陆天津市政府采购中心网（网址：www.tjgpc.gov.cn）-”网上招投标”-“供应商登录”-“市级集采机构入口”，并从“供应商系统”的“合同”中获取。</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竞争性磋商文件、成交供应商的响应文件及其澄清文件等，均为签订合同的依据，且为合同的组成部分。</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履约保证金</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w:t>
      </w:r>
      <w:r>
        <w:rPr>
          <w:rFonts w:hint="eastAsia" w:ascii="Times New Roman" w:hAnsi="Times New Roman" w:eastAsia="宋体" w:cs="Times New Roman"/>
          <w:color w:val="000000" w:themeColor="text1"/>
          <w:highlight w:val="none"/>
          <w14:textFill>
            <w14:solidFill>
              <w14:schemeClr w14:val="tx1"/>
            </w14:solidFill>
          </w14:textFill>
        </w:rPr>
        <w:t>若《磋商项目需求》规定须提交履约保证金的，成交供应商须按照规定要求提交履约保证金。</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成交供应商未能按合同规定履行其义务，采购人有权没收履约保证金。</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34. 成交供应商拒绝与采购人签订合同的，采购人可以按照评审报告推荐的成交候选人名单排序，确定下一候选人为成交供应商，也可以重新开展政府采购活动。</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 合同分包</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35.1 未经采购人同意，成交供应商不得分包合同。</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35.2 政府采购合同分包履行的，成交供应商就采购项目和分包项目向采购人负责，分包供应商就分包项目承担责任。</w:t>
      </w:r>
    </w:p>
    <w:p>
      <w:pPr>
        <w:pStyle w:val="27"/>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27"/>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27"/>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sectPr>
          <w:headerReference r:id="rId6" w:type="default"/>
          <w:pgSz w:w="11906" w:h="16838"/>
          <w:pgMar w:top="1440" w:right="1800" w:bottom="1440" w:left="1800" w:header="851" w:footer="992" w:gutter="0"/>
          <w:cols w:space="720" w:num="1"/>
          <w:docGrid w:type="lines" w:linePitch="312" w:charSpace="0"/>
        </w:sectPr>
      </w:pPr>
    </w:p>
    <w:p>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合同草案</w:t>
      </w:r>
      <w:bookmarkEnd w:id="7"/>
    </w:p>
    <w:p>
      <w:pPr>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建设工程施工合同协议条款</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甲方：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乙方： </w:t>
      </w:r>
    </w:p>
    <w:p>
      <w:pPr>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按照《中华人民共和国民法典》和相关法律法规的规定，结合本工程具体情况，双方达成如下协议。 </w:t>
      </w:r>
    </w:p>
    <w:p>
      <w:pPr>
        <w:pStyle w:val="35"/>
        <w:numPr>
          <w:ilvl w:val="0"/>
          <w:numId w:val="1"/>
        </w:numPr>
        <w:spacing w:line="480" w:lineRule="exact"/>
        <w:ind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本合同为中小企业预留合同</w:t>
      </w:r>
    </w:p>
    <w:p>
      <w:pPr>
        <w:pStyle w:val="35"/>
        <w:numPr>
          <w:ilvl w:val="0"/>
          <w:numId w:val="1"/>
        </w:numPr>
        <w:spacing w:line="480" w:lineRule="exact"/>
        <w:ind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本合同非中小企业预留合同</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第1条　工程概况。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1.1 工程名称：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工程地点：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工程内容：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承包范围：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1.2 开工日期：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竣工日期：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总日历日期：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1.3 质量等级：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1.4 合同价款：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第2条　合同文件及解释顺序。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第3条　合同文件使用的语言文字、标准和适用法律。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3.1合同语言：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3.2适用法律法规：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3.3适用标准、规范：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第4条　图纸。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4.1图纸提供日期：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4.2图纸提供套数：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4.3图纸特殊保密要求和费用：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第5条　甲方驻工地代表。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5.1甲方驻工地代表及委派人员名单：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5.2实行社会监理的总监理工程师姓名及其被授权范围（如果有）：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第6条　乙方驻工地代表。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第7条　甲方工作。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7.1施工场地具备开工条件和完成时间的要求：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7.2水、电、电讯等施工管线进入施工场地的时间、地点和供应要求：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7.3施工场地内主要交通干道及其与公共道路的开通时间和起止地点：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7.4工程地质和地下管网线路资料的提供时间：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7.5办理证件、批件的名称和完成时间：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7.6水准点与座标控制点位置提供和交验要求：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7.7会审图纸和设计交底的时间：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7.8施工场地周围建筑物和地下管线的保护要求：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第8条　乙方工作。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8.1施工图和配套设计名称、完成时间及要求：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8.2提供计划、报表的名称、时间和份数：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8.3施工防护工作的要求：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8.4向甲方代表提供办公和生活设施的要求：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8.5对施工现场交通和噪音的要求：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8.6成品保护的要求：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8.7施工场地周围建筑物和地下管线的保护要求：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8.8施工场地整洁卫生的要求：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第9条　进度计划。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9.1乙方提供施工组织设计（或施工方案）和进度计划的时间：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9.2甲方代表批准的时间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第10条　延期开工。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第11条　暂停施工。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第12条　工期延误。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第13条　工期提前。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第14条　检查和返工。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第15条　工程质量等级。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15.1工程质量等级要求的经济支出：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15.2质量评定仲裁部门名称：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第16条　隐蔽工程、中间验收。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16.1中间验收部位和时间：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第17条　试车。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第18条　验收和重新检验。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第19条　合同价款及调整。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19.1调整的条件：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19.2调整的方式：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第20条　工程预付款。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20.1预付工程款总金额：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20.2预付时间和比例：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20.3扣回时间和比例：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20.4甲方不按时付款应承担的违约责任：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第21条　工程量的核实确认。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21.1乙方提交工程量报告的时间和要求：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第22条　工程款支付。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22.1工程款支付方式：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22.2工程款支付金额和时间：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22.3甲方违约的责任：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第23条　甲方供应材料设备。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23.1甲方供应材料、设备的要求（附清单）：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第24条　乙方采购材料设备。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第25条　设计变更。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第26条　确定变更价款。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第27条　竣工验收。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27.1乙方提交竣工资料和验收报告的时间：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27.2乙方提交竣工图的时间和份数：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第28条　竣工结算。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28.1结算方式：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28.2乙方提交结算报告的时间：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28.3甲方批准结算报告的时间：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28.4甲方将拨款通知送达经办银行的时间：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28.5甲方违约的责任：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第29条　保修。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29.1保修内容、范围；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29.2保修期限：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29.3保修金额和支付方法：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29.4保修金利率：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第30条　争议。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30.1争议的解决程序：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30.2争议解决方式：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第31条　违约。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31.1违约的处理：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31.2违约金的数额：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31.3损失的计算方法：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31.4甲方不按时付款的利息率：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第32条　索赔。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第33条　安全施工。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第34条　专利技术、特殊工艺和合理化建设。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第35条　地下障碍和文物。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第36条　工程分包。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36.1分包单位和分包工程内容：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36.2分包工程价款的结算办法：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第37条　不可抗力。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37.1不可抗力的自然灾害认定标准：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第38条　保险。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第39条　工程停建或缓建。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第40条　合同生效与终止。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40.1合同生效日期：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第41条　合同份数：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41.1合同副本份数：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41.2合同副本的分送责任： </w:t>
      </w:r>
    </w:p>
    <w:p>
      <w:pPr>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41.3合同书制定费用：</w:t>
      </w:r>
    </w:p>
    <w:p>
      <w:pPr>
        <w:spacing w:line="460" w:lineRule="exact"/>
        <w:ind w:firstLine="480"/>
        <w:rPr>
          <w:color w:val="000000" w:themeColor="text1"/>
          <w:sz w:val="24"/>
          <w:highlight w:val="none"/>
          <w14:textFill>
            <w14:solidFill>
              <w14:schemeClr w14:val="tx1"/>
            </w14:solidFill>
          </w14:textFill>
        </w:rPr>
      </w:pPr>
    </w:p>
    <w:p>
      <w:pPr>
        <w:spacing w:line="460" w:lineRule="exact"/>
        <w:ind w:firstLine="480"/>
        <w:rPr>
          <w:iCs/>
          <w:color w:val="000000" w:themeColor="text1"/>
          <w:sz w:val="24"/>
          <w:highlight w:val="none"/>
          <w14:textFill>
            <w14:solidFill>
              <w14:schemeClr w14:val="tx1"/>
            </w14:solidFill>
          </w14:textFill>
        </w:rPr>
      </w:pPr>
      <w:r>
        <w:rPr>
          <w:iCs/>
          <w:color w:val="000000" w:themeColor="text1"/>
          <w:sz w:val="24"/>
          <w:highlight w:val="none"/>
          <w14:textFill>
            <w14:solidFill>
              <w14:schemeClr w14:val="tx1"/>
            </w14:solidFill>
          </w14:textFill>
        </w:rPr>
        <w:t xml:space="preserve">合同订立时间：　　　　　　　　　年　　　月　　　日 </w:t>
      </w:r>
    </w:p>
    <w:p>
      <w:pPr>
        <w:spacing w:line="460" w:lineRule="exact"/>
        <w:ind w:firstLine="480"/>
        <w:rPr>
          <w:iCs/>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发包方（章）：　　　　　　　　　　　　　　　 承包方（章）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地址：　　　　　　　　　　　　　　　　　　　地址：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法定代表人：　　　　　　　　　　　　　　　　法定代表人：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委托代理人：　　　　　　　　　　　　　　　　委托代理人：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电话：　　　　　　　　　　　　　　　　　　　电话：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电挂：　　　　　　　　　　　　　　　　　　　电挂：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开户银行：　　　　　　　　　　　　　　　　　开户银行：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帐号：　　　　　　　　　　　　　　　　　　　帐号： </w:t>
      </w:r>
    </w:p>
    <w:p>
      <w:pPr>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邮政编码：　　　　　　　　　　　　　　　　　邮政编码： </w:t>
      </w:r>
    </w:p>
    <w:p>
      <w:pPr>
        <w:spacing w:line="460" w:lineRule="exact"/>
        <w:ind w:firstLine="480"/>
        <w:rPr>
          <w:color w:val="000000" w:themeColor="text1"/>
          <w:sz w:val="24"/>
          <w:highlight w:val="none"/>
          <w14:textFill>
            <w14:solidFill>
              <w14:schemeClr w14:val="tx1"/>
            </w14:solidFill>
          </w14:textFill>
        </w:rPr>
      </w:pPr>
    </w:p>
    <w:p>
      <w:pPr>
        <w:spacing w:line="460" w:lineRule="exact"/>
        <w:ind w:firstLine="3600" w:firstLineChars="1500"/>
        <w:jc w:val="right"/>
        <w:rPr>
          <w:iCs/>
          <w:color w:val="000000" w:themeColor="text1"/>
          <w:sz w:val="24"/>
          <w:highlight w:val="none"/>
          <w14:textFill>
            <w14:solidFill>
              <w14:schemeClr w14:val="tx1"/>
            </w14:solidFill>
          </w14:textFill>
        </w:rPr>
      </w:pPr>
    </w:p>
    <w:p>
      <w:pPr>
        <w:spacing w:line="460" w:lineRule="exact"/>
        <w:ind w:firstLine="3600" w:firstLineChars="1500"/>
        <w:jc w:val="right"/>
        <w:rPr>
          <w:iCs/>
          <w:color w:val="000000" w:themeColor="text1"/>
          <w:sz w:val="24"/>
          <w:highlight w:val="none"/>
          <w14:textFill>
            <w14:solidFill>
              <w14:schemeClr w14:val="tx1"/>
            </w14:solidFill>
          </w14:textFill>
        </w:rPr>
      </w:pPr>
    </w:p>
    <w:p>
      <w:pPr>
        <w:spacing w:line="700" w:lineRule="exact"/>
        <w:rPr>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　　　　　　　　　　　　　　　　　　　　</w:t>
      </w:r>
    </w:p>
    <w:p>
      <w:pPr>
        <w:spacing w:line="700" w:lineRule="exact"/>
        <w:rPr>
          <w:color w:val="000000" w:themeColor="text1"/>
          <w:sz w:val="24"/>
          <w:szCs w:val="24"/>
          <w:highlight w:val="none"/>
          <w14:textFill>
            <w14:solidFill>
              <w14:schemeClr w14:val="tx1"/>
            </w14:solidFill>
          </w14:textFill>
        </w:rPr>
      </w:pPr>
    </w:p>
    <w:p>
      <w:pPr>
        <w:spacing w:line="700" w:lineRule="exact"/>
        <w:rPr>
          <w:color w:val="000000" w:themeColor="text1"/>
          <w:sz w:val="24"/>
          <w:szCs w:val="24"/>
          <w:highlight w:val="none"/>
          <w14:textFill>
            <w14:solidFill>
              <w14:schemeClr w14:val="tx1"/>
            </w14:solidFill>
          </w14:textFill>
        </w:rPr>
      </w:pPr>
    </w:p>
    <w:p>
      <w:pPr>
        <w:spacing w:line="700" w:lineRule="exact"/>
        <w:rPr>
          <w:color w:val="000000" w:themeColor="text1"/>
          <w:sz w:val="24"/>
          <w:szCs w:val="24"/>
          <w:highlight w:val="none"/>
          <w14:textFill>
            <w14:solidFill>
              <w14:schemeClr w14:val="tx1"/>
            </w14:solidFill>
          </w14:textFill>
        </w:rPr>
      </w:pPr>
    </w:p>
    <w:p>
      <w:pPr>
        <w:spacing w:line="700" w:lineRule="exact"/>
        <w:rPr>
          <w:color w:val="000000" w:themeColor="text1"/>
          <w:sz w:val="24"/>
          <w:szCs w:val="24"/>
          <w:highlight w:val="none"/>
          <w14:textFill>
            <w14:solidFill>
              <w14:schemeClr w14:val="tx1"/>
            </w14:solidFill>
          </w14:textFill>
        </w:rPr>
      </w:pPr>
    </w:p>
    <w:p>
      <w:pPr>
        <w:spacing w:line="700" w:lineRule="exact"/>
        <w:rPr>
          <w:color w:val="000000" w:themeColor="text1"/>
          <w:sz w:val="24"/>
          <w:szCs w:val="24"/>
          <w:highlight w:val="none"/>
          <w14:textFill>
            <w14:solidFill>
              <w14:schemeClr w14:val="tx1"/>
            </w14:solidFill>
          </w14:textFill>
        </w:rPr>
      </w:pPr>
    </w:p>
    <w:p>
      <w:pPr>
        <w:widowControl/>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jc w:val="center"/>
        <w:rPr>
          <w:color w:val="000000" w:themeColor="text1"/>
          <w:sz w:val="24"/>
          <w:szCs w:val="24"/>
          <w:highlight w:val="none"/>
          <w14:textFill>
            <w14:solidFill>
              <w14:schemeClr w14:val="tx1"/>
            </w14:solidFill>
          </w14:textFill>
        </w:rPr>
      </w:pPr>
    </w:p>
    <w:p>
      <w:pPr>
        <w:jc w:val="center"/>
        <w:rPr>
          <w:color w:val="000000" w:themeColor="text1"/>
          <w:sz w:val="24"/>
          <w:szCs w:val="24"/>
          <w:highlight w:val="none"/>
          <w14:textFill>
            <w14:solidFill>
              <w14:schemeClr w14:val="tx1"/>
            </w14:solidFill>
          </w14:textFill>
        </w:rPr>
      </w:pPr>
    </w:p>
    <w:p>
      <w:pPr>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合同特殊条款</w:t>
      </w:r>
    </w:p>
    <w:p>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合同特殊条款是合同一般条款的补充和修改。如果两者之间有抵触，应以特殊条款为准。</w:t>
      </w:r>
    </w:p>
    <w:p>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合同特殊条款由甲、乙双方根据采购项目的具体情况协商拟订。</w:t>
      </w:r>
    </w:p>
    <w:p>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pPr>
        <w:tabs>
          <w:tab w:val="left" w:pos="360"/>
        </w:tabs>
        <w:spacing w:line="520" w:lineRule="exact"/>
        <w:ind w:firstLine="410" w:firstLineChars="171"/>
        <w:rPr>
          <w:color w:val="000000" w:themeColor="text1"/>
          <w:sz w:val="24"/>
          <w:szCs w:val="24"/>
          <w:highlight w:val="none"/>
          <w14:textFill>
            <w14:solidFill>
              <w14:schemeClr w14:val="tx1"/>
            </w14:solidFill>
          </w14:textFill>
        </w:rPr>
        <w:sectPr>
          <w:headerReference r:id="rId7" w:type="default"/>
          <w:pgSz w:w="11906" w:h="16838"/>
          <w:pgMar w:top="1440" w:right="1800" w:bottom="1440" w:left="1800" w:header="851" w:footer="992" w:gutter="0"/>
          <w:cols w:space="720" w:num="1"/>
          <w:docGrid w:type="lines" w:linePitch="312" w:charSpace="0"/>
        </w:sectPr>
      </w:pPr>
    </w:p>
    <w:p>
      <w:pPr>
        <w:pStyle w:val="2"/>
        <w:jc w:val="center"/>
        <w:rPr>
          <w:color w:val="000000" w:themeColor="text1"/>
          <w:highlight w:val="none"/>
          <w14:textFill>
            <w14:solidFill>
              <w14:schemeClr w14:val="tx1"/>
            </w14:solidFill>
          </w14:textFill>
        </w:rPr>
      </w:pPr>
      <w:bookmarkStart w:id="8" w:name="_Toc411426753"/>
      <w:r>
        <w:rPr>
          <w:color w:val="000000" w:themeColor="text1"/>
          <w:highlight w:val="none"/>
          <w14:textFill>
            <w14:solidFill>
              <w14:schemeClr w14:val="tx1"/>
            </w14:solidFill>
          </w14:textFill>
        </w:rPr>
        <w:t>第五部分  响应文件格式</w:t>
      </w:r>
      <w:bookmarkEnd w:id="8"/>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加盖电子签章 ）</w:t>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第一阶段响应文件</w:t>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所 投 包 号：</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法定代表人姓名：</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投标代表人姓名：</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第一阶段</w:t>
      </w:r>
      <w:r>
        <w:rPr>
          <w:b/>
          <w:bCs/>
          <w:color w:val="000000" w:themeColor="text1"/>
          <w:sz w:val="24"/>
          <w:highlight w:val="none"/>
          <w14:textFill>
            <w14:solidFill>
              <w14:schemeClr w14:val="tx1"/>
            </w14:solidFill>
          </w14:textFill>
        </w:rPr>
        <w:t>响应文件总目录</w:t>
      </w:r>
    </w:p>
    <w:p>
      <w:pPr>
        <w:autoSpaceDN w:val="0"/>
        <w:spacing w:line="360" w:lineRule="auto"/>
        <w:jc w:val="center"/>
        <w:rPr>
          <w:b/>
          <w:bCs/>
          <w:color w:val="000000" w:themeColor="text1"/>
          <w:sz w:val="24"/>
          <w:highlight w:val="none"/>
          <w14:textFill>
            <w14:solidFill>
              <w14:schemeClr w14:val="tx1"/>
            </w14:solidFill>
          </w14:textFill>
        </w:rPr>
      </w:pP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（投标人自行编制）</w:t>
      </w:r>
    </w:p>
    <w:p>
      <w:pPr>
        <w:widowControl/>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评分因素及评标标准页码检索</w:t>
      </w:r>
    </w:p>
    <w:p>
      <w:pPr>
        <w:widowControl/>
        <w:spacing w:line="360" w:lineRule="auto"/>
        <w:jc w:val="center"/>
        <w:rPr>
          <w:b/>
          <w:color w:val="000000" w:themeColor="text1"/>
          <w:sz w:val="24"/>
          <w:highlight w:val="none"/>
          <w14:textFill>
            <w14:solidFill>
              <w14:schemeClr w14:val="tx1"/>
            </w14:solidFill>
          </w14:textFill>
        </w:rPr>
      </w:pPr>
    </w:p>
    <w:p>
      <w:pPr>
        <w:widowControl/>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（投标人按磋商文件“评分因素及评标标准”中除涉及价格的评分项外的每个评分项逐项列明页码）</w:t>
      </w:r>
    </w:p>
    <w:p>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p>
    <w:p>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响应书</w:t>
      </w:r>
    </w:p>
    <w:p>
      <w:pPr>
        <w:tabs>
          <w:tab w:val="left" w:pos="360"/>
        </w:tabs>
        <w:spacing w:line="560" w:lineRule="exact"/>
        <w:jc w:val="center"/>
        <w:rPr>
          <w:b/>
          <w:color w:val="000000" w:themeColor="text1"/>
          <w:sz w:val="24"/>
          <w:highlight w:val="none"/>
          <w14:textFill>
            <w14:solidFill>
              <w14:schemeClr w14:val="tx1"/>
            </w14:solidFill>
          </w14:textFill>
        </w:rPr>
      </w:pPr>
    </w:p>
    <w:p>
      <w:pPr>
        <w:autoSpaceDE w:val="0"/>
        <w:autoSpaceDN w:val="0"/>
        <w:adjustRightInd w:val="0"/>
        <w:spacing w:line="520" w:lineRule="exact"/>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致：天津市政府采购中心</w:t>
      </w:r>
    </w:p>
    <w:p>
      <w:pPr>
        <w:autoSpaceDE w:val="0"/>
        <w:autoSpaceDN w:val="0"/>
        <w:adjustRightInd w:val="0"/>
        <w:spacing w:line="360" w:lineRule="auto"/>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）的磋商邀请，签字代表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职务）经正式授权并代表我公司</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（投标单位名称、地址）提交网上应答及上传加盖电子签章的响应文件。</w:t>
      </w:r>
    </w:p>
    <w:p>
      <w:pPr>
        <w:autoSpaceDE w:val="0"/>
        <w:autoSpaceDN w:val="0"/>
        <w:adjustRightInd w:val="0"/>
        <w:spacing w:line="360" w:lineRule="auto"/>
        <w:ind w:firstLine="48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据此函，签字代表宣布同意如下：</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我公司将按磋商文件的规定履行合同责任和义务。</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我公司的磋商有效期为响应文件开启之日起60天。</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我公司同意按照招标采购单位要求提供的与投标有关的一切数据或资料，并声明响应文件及所提供的一切资料均真实有效。由于我公司提供资料不实而造成的责任和后果由我公司自行承担。</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我公司保证在保质保量基础上，按期竣工并移交整个工程。</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我公司承诺完全符合《政府采购法》、《政府采购法实施条例》等法律法规规定，并随时接受招标采购单位的检查验证。在整个磋商过程中，我公司若有违规行为，我公司完全接受贵中心依照相关法律法规和磋商文件的规定给予处罚。</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color w:val="000000" w:themeColor="text1"/>
          <w:sz w:val="24"/>
          <w:szCs w:val="24"/>
          <w:highlight w:val="none"/>
          <w14:textFill>
            <w14:solidFill>
              <w14:schemeClr w14:val="tx1"/>
            </w14:solidFill>
          </w14:textFill>
        </w:rPr>
        <w:t>投标截止日前3年在经营活动中没有重大违法记录。</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9. 我公司若成交，本承诺将成为合同不可分割的一部分，与合同具有同等的法律效力。</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 如违反上述承诺，我公司投标无效且接受相关部门依法作出的处罚，并承担通过“天津市政府采购网”等相关媒体予以公布的任何风险和责任。</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 我公司开票信息如下，</w:t>
      </w:r>
      <w:r>
        <w:rPr>
          <w:b/>
          <w:color w:val="000000" w:themeColor="text1"/>
          <w:sz w:val="24"/>
          <w:highlight w:val="none"/>
          <w14:textFill>
            <w14:solidFill>
              <w14:schemeClr w14:val="tx1"/>
            </w14:solidFill>
          </w14:textFill>
        </w:rPr>
        <w:t>此信息与我公司在税务局注册的信息一致</w:t>
      </w:r>
      <w:r>
        <w:rPr>
          <w:color w:val="000000" w:themeColor="text1"/>
          <w:sz w:val="24"/>
          <w:highlight w:val="none"/>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纳税人识别号：</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地址、电话：</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开户行及账号：</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开具发票类型：□增值税专用发票         □增值税普通发票</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12. 我公司选择招标代理服务费发票领取方式（请自行选择以下任一方式并在相应□里划“√”）：</w:t>
      </w:r>
    </w:p>
    <w:p>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□上门自取</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□到付邮寄</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邮寄地址、邮编：</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附件2</w:t>
      </w:r>
    </w:p>
    <w:p>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供应商资格要求证明文件</w:t>
      </w: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注：相关证明材料应附在此页后面。</w:t>
      </w:r>
    </w:p>
    <w:p>
      <w:pPr>
        <w:spacing w:line="460" w:lineRule="exact"/>
        <w:ind w:left="192"/>
        <w:rPr>
          <w:b/>
          <w:bCs/>
          <w:color w:val="000000" w:themeColor="text1"/>
          <w:sz w:val="24"/>
          <w:highlight w:val="none"/>
          <w14:textFill>
            <w14:solidFill>
              <w14:schemeClr w14:val="tx1"/>
            </w14:solidFill>
          </w14:textFill>
        </w:rPr>
      </w:pPr>
    </w:p>
    <w:p>
      <w:pPr>
        <w:spacing w:line="460" w:lineRule="exact"/>
        <w:ind w:left="192"/>
        <w:rPr>
          <w:b/>
          <w:bCs/>
          <w:color w:val="000000" w:themeColor="text1"/>
          <w:sz w:val="24"/>
          <w:highlight w:val="none"/>
          <w14:textFill>
            <w14:solidFill>
              <w14:schemeClr w14:val="tx1"/>
            </w14:solidFill>
          </w14:textFill>
        </w:rPr>
      </w:pPr>
    </w:p>
    <w:p>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附件3</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磋商代表人授权书</w:t>
      </w:r>
    </w:p>
    <w:p>
      <w:pPr>
        <w:spacing w:line="360" w:lineRule="auto"/>
        <w:rPr>
          <w:color w:val="000000" w:themeColor="text1"/>
          <w:sz w:val="24"/>
          <w:szCs w:val="21"/>
          <w:highlight w:val="none"/>
          <w14:textFill>
            <w14:solidFill>
              <w14:schemeClr w14:val="tx1"/>
            </w14:solidFill>
          </w14:textFill>
        </w:rPr>
      </w:pPr>
    </w:p>
    <w:p>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pPr>
        <w:spacing w:line="360" w:lineRule="auto"/>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我单位授权委托本月</w:t>
      </w:r>
      <w:r>
        <w:rPr>
          <w:color w:val="000000" w:themeColor="text1"/>
          <w:sz w:val="24"/>
          <w:szCs w:val="21"/>
          <w:highlight w:val="none"/>
          <w14:textFill>
            <w14:solidFill>
              <w14:schemeClr w14:val="tx1"/>
            </w14:solidFill>
          </w14:textFill>
        </w:rPr>
        <w:t>/</w:t>
      </w:r>
      <w:r>
        <w:rPr>
          <w:rFonts w:hint="eastAsia"/>
          <w:color w:val="000000" w:themeColor="text1"/>
          <w:sz w:val="24"/>
          <w:szCs w:val="21"/>
          <w:highlight w:val="none"/>
          <w14:textFill>
            <w14:solidFill>
              <w14:schemeClr w14:val="tx1"/>
            </w14:solidFill>
          </w14:textFill>
        </w:rPr>
        <w:t>上月（本月尚未缴纳社保的，则填写上月）由我单位缴纳社会保险的在职职工</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（姓名）（身份证号码：</w:t>
      </w:r>
      <w:r>
        <w:rPr>
          <w:color w:val="000000" w:themeColor="text1"/>
          <w:sz w:val="24"/>
          <w:szCs w:val="21"/>
          <w:highlight w:val="none"/>
          <w14:textFill>
            <w14:solidFill>
              <w14:schemeClr w14:val="tx1"/>
            </w14:solidFill>
          </w14:textFill>
        </w:rPr>
        <w:t>____________________</w:t>
      </w:r>
      <w:r>
        <w:rPr>
          <w:rFonts w:hint="eastAsia"/>
          <w:color w:val="000000" w:themeColor="text1"/>
          <w:sz w:val="24"/>
          <w:szCs w:val="21"/>
          <w:highlight w:val="none"/>
          <w14:textFill>
            <w14:solidFill>
              <w14:schemeClr w14:val="tx1"/>
            </w14:solidFill>
          </w14:textFill>
        </w:rPr>
        <w:t>、联系电话：</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）作为磋商代表人以我方的名义参加贵中心组织的</w:t>
      </w:r>
      <w:r>
        <w:rPr>
          <w:color w:val="000000" w:themeColor="text1"/>
          <w:sz w:val="24"/>
          <w:szCs w:val="21"/>
          <w:highlight w:val="none"/>
          <w14:textFill>
            <w14:solidFill>
              <w14:schemeClr w14:val="tx1"/>
            </w14:solidFill>
          </w14:textFill>
        </w:rPr>
        <w:t>______________________</w:t>
      </w:r>
      <w:r>
        <w:rPr>
          <w:rFonts w:hint="eastAsia"/>
          <w:color w:val="000000" w:themeColor="text1"/>
          <w:sz w:val="24"/>
          <w:szCs w:val="21"/>
          <w:highlight w:val="none"/>
          <w14:textFill>
            <w14:solidFill>
              <w14:schemeClr w14:val="tx1"/>
            </w14:solidFill>
          </w14:textFill>
        </w:rPr>
        <w:t>项目（项目编号：</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）的政府采购活动，并代表我方全权办理针对上述项目的响应文件递交、磋商、响应文件澄清、签约等一切具体事务和签署相关文件。</w:t>
      </w:r>
    </w:p>
    <w:p>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我方对投标代表人的签名事项负全部责任。</w:t>
      </w:r>
    </w:p>
    <w:p>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本授权书至磋商有效期结束前始终有效。</w:t>
      </w:r>
    </w:p>
    <w:p>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磋商代表人无转委托权，特此委托。</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5040"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投标代表人身份证正面</w:t>
            </w: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tc>
        <w:tc>
          <w:tcPr>
            <w:tcW w:w="4264" w:type="dxa"/>
          </w:tcPr>
          <w:p>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投标代表人身份证背面</w:t>
            </w:r>
          </w:p>
        </w:tc>
      </w:tr>
    </w:tbl>
    <w:p>
      <w:pPr>
        <w:spacing w:line="360" w:lineRule="auto"/>
        <w:ind w:firstLine="5040" w:firstLineChars="2100"/>
        <w:rPr>
          <w:color w:val="000000" w:themeColor="text1"/>
          <w:sz w:val="24"/>
          <w:highlight w:val="none"/>
          <w14:textFill>
            <w14:solidFill>
              <w14:schemeClr w14:val="tx1"/>
            </w14:solidFill>
          </w14:textFill>
        </w:rPr>
      </w:pPr>
    </w:p>
    <w:p>
      <w:pPr>
        <w:spacing w:line="360" w:lineRule="auto"/>
        <w:ind w:firstLine="480" w:firstLineChars="200"/>
        <w:jc w:val="left"/>
        <w:rPr>
          <w:color w:val="000000" w:themeColor="text1"/>
          <w:sz w:val="24"/>
          <w:highlight w:val="none"/>
          <w14:textFill>
            <w14:solidFill>
              <w14:schemeClr w14:val="tx1"/>
            </w14:solidFill>
          </w14:textFill>
        </w:rPr>
      </w:pPr>
    </w:p>
    <w:p>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附件4-1</w:t>
      </w:r>
    </w:p>
    <w:p>
      <w:pPr>
        <w:spacing w:line="460" w:lineRule="exact"/>
        <w:ind w:left="181"/>
        <w:jc w:val="center"/>
        <w:rPr>
          <w:b/>
          <w:color w:val="000000" w:themeColor="text1"/>
          <w:sz w:val="24"/>
          <w:highlight w:val="none"/>
          <w14:textFill>
            <w14:solidFill>
              <w14:schemeClr w14:val="tx1"/>
            </w14:solidFill>
          </w14:textFill>
        </w:rPr>
      </w:pP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pPr>
        <w:spacing w:line="460" w:lineRule="exac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谈判要求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（二）质量要求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（三）服务要求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（四）承包方式</w:t>
            </w:r>
          </w:p>
        </w:tc>
      </w:tr>
      <w:tr>
        <w:tblPrEx>
          <w:tblCellMar>
            <w:top w:w="0" w:type="dxa"/>
            <w:left w:w="108" w:type="dxa"/>
            <w:bottom w:w="0" w:type="dxa"/>
            <w:right w:w="108" w:type="dxa"/>
          </w:tblCellMar>
        </w:tblPrEx>
        <w:tc>
          <w:tcPr>
            <w:tcW w:w="974" w:type="pct"/>
            <w:tcBorders>
              <w:top w:val="nil"/>
              <w:left w:val="single" w:color="auto" w:sz="8" w:space="0"/>
              <w:bottom w:val="single" w:color="auto" w:sz="4"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4"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4"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4"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4"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（五）工期、施工地点要求</w:t>
            </w:r>
          </w:p>
        </w:tc>
      </w:tr>
      <w:tr>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（六）付款方式</w:t>
            </w:r>
          </w:p>
        </w:tc>
      </w:tr>
      <w:tr>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（七）磋商保证金及履约保证金</w:t>
            </w:r>
          </w:p>
        </w:tc>
      </w:tr>
      <w:tr>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（八）其他要求</w:t>
            </w:r>
          </w:p>
        </w:tc>
      </w:tr>
      <w:tr>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r>
    </w:tbl>
    <w:p>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磋商要求指磋商文件中规定的具体要求，投标应答指响应文件的具体内容。</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偏离说明指磋商要求与投标应答之间的不同之处。</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360" w:lineRule="auto"/>
        <w:rPr>
          <w:color w:val="000000" w:themeColor="text1"/>
          <w:sz w:val="24"/>
          <w:highlight w:val="none"/>
          <w14:textFill>
            <w14:solidFill>
              <w14:schemeClr w14:val="tx1"/>
            </w14:solidFill>
          </w14:textFill>
        </w:rPr>
      </w:pPr>
    </w:p>
    <w:p>
      <w:pPr>
        <w:tabs>
          <w:tab w:val="left" w:pos="360"/>
        </w:tabs>
        <w:spacing w:after="312"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附件4-2</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5153"/>
        <w:gridCol w:w="1679"/>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515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磋商要求</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响应应答</w:t>
            </w: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5153"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（一）以采购人提供的工程量清单为准，工程结算需经审计并以审定值为准进行结算。</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5153"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（二）采购范围：采购人提供的工程量清单中指定的内容。</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5153"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（三）质量标准：达到国家施工验收规范合格标准。</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4</w:t>
            </w:r>
          </w:p>
        </w:tc>
        <w:tc>
          <w:tcPr>
            <w:tcW w:w="5153"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5</w:t>
            </w:r>
          </w:p>
        </w:tc>
        <w:tc>
          <w:tcPr>
            <w:tcW w:w="5153"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五）工程所用的材料、设备的品种、规格、性能和等级必须符合设计要求及国家、天津市现行产品标准和工程技术有关规定，符合国家有关建筑装饰装修材料有害物质限定标准的规定，达到环保要求，瓷质砖、溶剂型木器涂料、灯具具有强制性产品认证（3C）证书。</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6</w:t>
            </w:r>
          </w:p>
        </w:tc>
        <w:tc>
          <w:tcPr>
            <w:tcW w:w="5153"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（六）主要材料设备在采购前，其材料质量、规格、品牌、性能必须经采购人确认后方可采购。工程施工中如发生因材料质量不合格，影响工程的施工进度和工程质量，所造成的一切损失由成交供应商负责。</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7</w:t>
            </w:r>
          </w:p>
        </w:tc>
        <w:tc>
          <w:tcPr>
            <w:tcW w:w="5153"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七）施工材料设备实行用户控制(甲控)，即施工材料设备只有在采购人认可后方可使用，采购人有权重新指定材料设备品牌，新老材料设备差价按实结算(多退少补)，成交供应商负责材料设备的采购、运输、保管和退换等事项。</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8</w:t>
            </w:r>
          </w:p>
        </w:tc>
        <w:tc>
          <w:tcPr>
            <w:tcW w:w="5153"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（八）本项目的工程建设必须达到现行国家、省、自治区、直辖市或行业的工程建设标准、规范及强制性条文的要求。</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9</w:t>
            </w:r>
          </w:p>
        </w:tc>
        <w:tc>
          <w:tcPr>
            <w:tcW w:w="5153"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（九）施工前，需要按照国家规定进行二次复测的材料设备，必须经复测达到国家环保标准后方可使用，否则，由此所造成的损失则由施工单位负责。复测费用由施工单位承担。</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10</w:t>
            </w:r>
          </w:p>
        </w:tc>
        <w:tc>
          <w:tcPr>
            <w:tcW w:w="5153"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（十）施工中应严格遵守有关环境保护的法律法规，并应采用有效措施控制施工现场各种粉尘、废气、废弃物噪声、振动等对周围环境造成的污染和危害。</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11</w:t>
            </w:r>
          </w:p>
        </w:tc>
        <w:tc>
          <w:tcPr>
            <w:tcW w:w="5153"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（十一）投标人必须具有良好的资信和售后服务，服从采购人的管理，自觉接受监理机构的监理，并能密切配合其它配套施工项目。</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r>
              <w:rPr>
                <w:rFonts w:hint="eastAsia"/>
                <w:color w:val="000000" w:themeColor="text1"/>
                <w:kern w:val="0"/>
                <w:sz w:val="24"/>
                <w:szCs w:val="21"/>
                <w:highlight w:val="none"/>
                <w14:textFill>
                  <w14:solidFill>
                    <w14:schemeClr w14:val="tx1"/>
                  </w14:solidFill>
                </w14:textFill>
              </w:rPr>
              <w:t>2</w:t>
            </w:r>
          </w:p>
        </w:tc>
        <w:tc>
          <w:tcPr>
            <w:tcW w:w="5153"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十三）本工程所涉的节能产品、节水产品及环境标志产品须按照《关于调整优化节能产品、环境标志产品政府采购执行机制的通知》（财库〔2019〕9号）文件要求，对政府采购节能、环境标志品目清单内的产品实施优先采购和强制采购。</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r>
              <w:rPr>
                <w:rFonts w:hint="eastAsia"/>
                <w:color w:val="000000" w:themeColor="text1"/>
                <w:kern w:val="0"/>
                <w:sz w:val="24"/>
                <w:szCs w:val="21"/>
                <w:highlight w:val="none"/>
                <w14:textFill>
                  <w14:solidFill>
                    <w14:schemeClr w14:val="tx1"/>
                  </w14:solidFill>
                </w14:textFill>
              </w:rPr>
              <w:t>3</w:t>
            </w:r>
          </w:p>
        </w:tc>
        <w:tc>
          <w:tcPr>
            <w:tcW w:w="5153" w:type="dxa"/>
            <w:shd w:val="clear" w:color="auto" w:fill="auto"/>
            <w:vAlign w:val="center"/>
          </w:tcPr>
          <w:p>
            <w:pPr>
              <w:widowControl/>
              <w:snapToGrid w:val="0"/>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其他要求</w:t>
            </w:r>
          </w:p>
        </w:tc>
        <w:tc>
          <w:tcPr>
            <w:tcW w:w="167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bl>
    <w:p>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磋商要求指磋商文件中规定的具体要求，投标应答指响应文件的具体内容。</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偏离说明指磋商要求与投标应答之间的不同之处。</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磋商文件要求。投标人自行承担由此造成的一切后果。</w:t>
      </w: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4080" w:firstLineChars="17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b/>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附件5：辅助资料表</w:t>
      </w:r>
    </w:p>
    <w:p>
      <w:pPr>
        <w:spacing w:line="360" w:lineRule="auto"/>
        <w:ind w:firstLine="480" w:firstLineChars="200"/>
        <w:rPr>
          <w:bCs/>
          <w:color w:val="000000" w:themeColor="text1"/>
          <w:sz w:val="24"/>
          <w:highlight w:val="none"/>
          <w14:textFill>
            <w14:solidFill>
              <w14:schemeClr w14:val="tx1"/>
            </w14:solidFill>
          </w14:textFill>
        </w:rPr>
      </w:pPr>
    </w:p>
    <w:p>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附件5-1 项目经理简历表</w:t>
      </w:r>
    </w:p>
    <w:p>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附件5-2 主要施工人员表</w:t>
      </w:r>
    </w:p>
    <w:p>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附件5-3 主要施工机械设备表</w:t>
      </w:r>
    </w:p>
    <w:p>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附件5-4 项目拟分包情况表</w:t>
      </w:r>
    </w:p>
    <w:p>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附件5-5 劳动计划表</w:t>
      </w:r>
    </w:p>
    <w:p>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附件5-6 施工方案或施工组织计划</w:t>
      </w:r>
    </w:p>
    <w:p>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附件5-7 计划开、竣工日期和施工进度表</w:t>
      </w:r>
    </w:p>
    <w:p>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附件5-8 临时设施布置及临时用地表</w:t>
      </w:r>
    </w:p>
    <w:p>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附件5-9 投标企业概况</w:t>
      </w:r>
    </w:p>
    <w:p>
      <w:pPr>
        <w:spacing w:line="360" w:lineRule="auto"/>
        <w:ind w:firstLine="480" w:firstLineChars="200"/>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附件5-1</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项目经理简历表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08"/>
        <w:gridCol w:w="180"/>
        <w:gridCol w:w="932"/>
        <w:gridCol w:w="688"/>
        <w:gridCol w:w="732"/>
        <w:gridCol w:w="1068"/>
        <w:gridCol w:w="352"/>
        <w:gridCol w:w="548"/>
        <w:gridCol w:w="720"/>
        <w:gridCol w:w="152"/>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姓名</w:t>
            </w:r>
          </w:p>
        </w:tc>
        <w:tc>
          <w:tcPr>
            <w:tcW w:w="1420" w:type="dxa"/>
            <w:gridSpan w:val="3"/>
            <w:vAlign w:val="center"/>
          </w:tcPr>
          <w:p>
            <w:pPr>
              <w:spacing w:line="560" w:lineRule="exact"/>
              <w:jc w:val="center"/>
              <w:rPr>
                <w:color w:val="000000" w:themeColor="text1"/>
                <w:sz w:val="24"/>
                <w:highlight w:val="none"/>
                <w14:textFill>
                  <w14:solidFill>
                    <w14:schemeClr w14:val="tx1"/>
                  </w14:solidFill>
                </w14:textFill>
              </w:rPr>
            </w:pPr>
          </w:p>
        </w:tc>
        <w:tc>
          <w:tcPr>
            <w:tcW w:w="1420" w:type="dxa"/>
            <w:gridSpan w:val="2"/>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性别</w:t>
            </w:r>
          </w:p>
        </w:tc>
        <w:tc>
          <w:tcPr>
            <w:tcW w:w="1420" w:type="dxa"/>
            <w:gridSpan w:val="2"/>
            <w:vAlign w:val="center"/>
          </w:tcPr>
          <w:p>
            <w:pPr>
              <w:spacing w:line="560" w:lineRule="exact"/>
              <w:jc w:val="center"/>
              <w:rPr>
                <w:color w:val="000000" w:themeColor="text1"/>
                <w:sz w:val="24"/>
                <w:highlight w:val="none"/>
                <w14:textFill>
                  <w14:solidFill>
                    <w14:schemeClr w14:val="tx1"/>
                  </w14:solidFill>
                </w14:textFill>
              </w:rPr>
            </w:pPr>
          </w:p>
        </w:tc>
        <w:tc>
          <w:tcPr>
            <w:tcW w:w="1420" w:type="dxa"/>
            <w:gridSpan w:val="3"/>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年龄</w:t>
            </w:r>
          </w:p>
        </w:tc>
        <w:tc>
          <w:tcPr>
            <w:tcW w:w="1420" w:type="dxa"/>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职务</w:t>
            </w:r>
          </w:p>
        </w:tc>
        <w:tc>
          <w:tcPr>
            <w:tcW w:w="1420" w:type="dxa"/>
            <w:gridSpan w:val="3"/>
            <w:vAlign w:val="center"/>
          </w:tcPr>
          <w:p>
            <w:pPr>
              <w:spacing w:line="560" w:lineRule="exact"/>
              <w:jc w:val="center"/>
              <w:rPr>
                <w:color w:val="000000" w:themeColor="text1"/>
                <w:sz w:val="24"/>
                <w:highlight w:val="none"/>
                <w14:textFill>
                  <w14:solidFill>
                    <w14:schemeClr w14:val="tx1"/>
                  </w14:solidFill>
                </w14:textFill>
              </w:rPr>
            </w:pPr>
          </w:p>
        </w:tc>
        <w:tc>
          <w:tcPr>
            <w:tcW w:w="1420" w:type="dxa"/>
            <w:gridSpan w:val="2"/>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职称</w:t>
            </w:r>
          </w:p>
        </w:tc>
        <w:tc>
          <w:tcPr>
            <w:tcW w:w="1420" w:type="dxa"/>
            <w:gridSpan w:val="2"/>
            <w:vAlign w:val="center"/>
          </w:tcPr>
          <w:p>
            <w:pPr>
              <w:spacing w:line="560" w:lineRule="exact"/>
              <w:jc w:val="center"/>
              <w:rPr>
                <w:color w:val="000000" w:themeColor="text1"/>
                <w:sz w:val="24"/>
                <w:highlight w:val="none"/>
                <w14:textFill>
                  <w14:solidFill>
                    <w14:schemeClr w14:val="tx1"/>
                  </w14:solidFill>
                </w14:textFill>
              </w:rPr>
            </w:pPr>
          </w:p>
        </w:tc>
        <w:tc>
          <w:tcPr>
            <w:tcW w:w="1420" w:type="dxa"/>
            <w:gridSpan w:val="3"/>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学历</w:t>
            </w:r>
          </w:p>
        </w:tc>
        <w:tc>
          <w:tcPr>
            <w:tcW w:w="1420" w:type="dxa"/>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08" w:type="dxa"/>
            <w:gridSpan w:val="3"/>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参加工作时间 </w:t>
            </w:r>
          </w:p>
        </w:tc>
        <w:tc>
          <w:tcPr>
            <w:tcW w:w="2352" w:type="dxa"/>
            <w:gridSpan w:val="3"/>
            <w:vAlign w:val="center"/>
          </w:tcPr>
          <w:p>
            <w:pPr>
              <w:spacing w:line="560" w:lineRule="exact"/>
              <w:jc w:val="center"/>
              <w:rPr>
                <w:color w:val="000000" w:themeColor="text1"/>
                <w:sz w:val="24"/>
                <w:highlight w:val="none"/>
                <w14:textFill>
                  <w14:solidFill>
                    <w14:schemeClr w14:val="tx1"/>
                  </w14:solidFill>
                </w14:textFill>
              </w:rPr>
            </w:pPr>
          </w:p>
        </w:tc>
        <w:tc>
          <w:tcPr>
            <w:tcW w:w="1968" w:type="dxa"/>
            <w:gridSpan w:val="3"/>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从事项目经理年</w:t>
            </w:r>
          </w:p>
        </w:tc>
        <w:tc>
          <w:tcPr>
            <w:tcW w:w="2292" w:type="dxa"/>
            <w:gridSpan w:val="3"/>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0" w:type="dxa"/>
            <w:gridSpan w:val="12"/>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已完成工程项目情况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建设单位</w:t>
            </w:r>
          </w:p>
        </w:tc>
        <w:tc>
          <w:tcPr>
            <w:tcW w:w="1800" w:type="dxa"/>
            <w:gridSpan w:val="3"/>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p>
        </w:tc>
        <w:tc>
          <w:tcPr>
            <w:tcW w:w="1800" w:type="dxa"/>
            <w:gridSpan w:val="2"/>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建设规模</w:t>
            </w:r>
          </w:p>
        </w:tc>
        <w:tc>
          <w:tcPr>
            <w:tcW w:w="1620" w:type="dxa"/>
            <w:gridSpan w:val="3"/>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开、竣工程</w:t>
            </w:r>
          </w:p>
        </w:tc>
        <w:tc>
          <w:tcPr>
            <w:tcW w:w="1572" w:type="dxa"/>
            <w:gridSpan w:val="2"/>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pPr>
              <w:spacing w:line="560" w:lineRule="exact"/>
              <w:jc w:val="center"/>
              <w:rPr>
                <w:color w:val="000000" w:themeColor="text1"/>
                <w:sz w:val="24"/>
                <w:highlight w:val="none"/>
                <w14:textFill>
                  <w14:solidFill>
                    <w14:schemeClr w14:val="tx1"/>
                  </w14:solidFill>
                </w14:textFill>
              </w:rPr>
            </w:pPr>
          </w:p>
        </w:tc>
        <w:tc>
          <w:tcPr>
            <w:tcW w:w="1800" w:type="dxa"/>
            <w:gridSpan w:val="3"/>
            <w:vAlign w:val="center"/>
          </w:tcPr>
          <w:p>
            <w:pPr>
              <w:spacing w:line="560" w:lineRule="exact"/>
              <w:jc w:val="center"/>
              <w:rPr>
                <w:color w:val="000000" w:themeColor="text1"/>
                <w:sz w:val="24"/>
                <w:highlight w:val="none"/>
                <w14:textFill>
                  <w14:solidFill>
                    <w14:schemeClr w14:val="tx1"/>
                  </w14:solidFill>
                </w14:textFill>
              </w:rPr>
            </w:pPr>
          </w:p>
        </w:tc>
        <w:tc>
          <w:tcPr>
            <w:tcW w:w="1800" w:type="dxa"/>
            <w:gridSpan w:val="2"/>
            <w:vAlign w:val="center"/>
          </w:tcPr>
          <w:p>
            <w:pPr>
              <w:spacing w:line="560" w:lineRule="exact"/>
              <w:jc w:val="center"/>
              <w:rPr>
                <w:color w:val="000000" w:themeColor="text1"/>
                <w:sz w:val="24"/>
                <w:highlight w:val="none"/>
                <w14:textFill>
                  <w14:solidFill>
                    <w14:schemeClr w14:val="tx1"/>
                  </w14:solidFill>
                </w14:textFill>
              </w:rPr>
            </w:pPr>
          </w:p>
        </w:tc>
        <w:tc>
          <w:tcPr>
            <w:tcW w:w="1620" w:type="dxa"/>
            <w:gridSpan w:val="3"/>
            <w:vAlign w:val="center"/>
          </w:tcPr>
          <w:p>
            <w:pPr>
              <w:spacing w:line="560" w:lineRule="exact"/>
              <w:jc w:val="center"/>
              <w:rPr>
                <w:color w:val="000000" w:themeColor="text1"/>
                <w:sz w:val="24"/>
                <w:highlight w:val="none"/>
                <w14:textFill>
                  <w14:solidFill>
                    <w14:schemeClr w14:val="tx1"/>
                  </w14:solidFill>
                </w14:textFill>
              </w:rPr>
            </w:pPr>
          </w:p>
        </w:tc>
        <w:tc>
          <w:tcPr>
            <w:tcW w:w="1572" w:type="dxa"/>
            <w:gridSpan w:val="2"/>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highlight w:val="none"/>
                <w14:textFill>
                  <w14:solidFill>
                    <w14:schemeClr w14:val="tx1"/>
                  </w14:solidFill>
                </w14:textFill>
              </w:rPr>
            </w:pPr>
          </w:p>
        </w:tc>
        <w:tc>
          <w:tcPr>
            <w:tcW w:w="1800" w:type="dxa"/>
            <w:gridSpan w:val="3"/>
          </w:tcPr>
          <w:p>
            <w:pPr>
              <w:spacing w:line="560" w:lineRule="exact"/>
              <w:jc w:val="center"/>
              <w:rPr>
                <w:b/>
                <w:color w:val="000000" w:themeColor="text1"/>
                <w:sz w:val="24"/>
                <w:highlight w:val="none"/>
                <w14:textFill>
                  <w14:solidFill>
                    <w14:schemeClr w14:val="tx1"/>
                  </w14:solidFill>
                </w14:textFill>
              </w:rPr>
            </w:pPr>
          </w:p>
        </w:tc>
        <w:tc>
          <w:tcPr>
            <w:tcW w:w="1800" w:type="dxa"/>
            <w:gridSpan w:val="2"/>
          </w:tcPr>
          <w:p>
            <w:pPr>
              <w:spacing w:line="560" w:lineRule="exact"/>
              <w:jc w:val="center"/>
              <w:rPr>
                <w:b/>
                <w:color w:val="000000" w:themeColor="text1"/>
                <w:sz w:val="24"/>
                <w:highlight w:val="none"/>
                <w14:textFill>
                  <w14:solidFill>
                    <w14:schemeClr w14:val="tx1"/>
                  </w14:solidFill>
                </w14:textFill>
              </w:rPr>
            </w:pPr>
          </w:p>
        </w:tc>
        <w:tc>
          <w:tcPr>
            <w:tcW w:w="1620" w:type="dxa"/>
            <w:gridSpan w:val="3"/>
          </w:tcPr>
          <w:p>
            <w:pPr>
              <w:spacing w:line="560" w:lineRule="exact"/>
              <w:jc w:val="center"/>
              <w:rPr>
                <w:b/>
                <w:color w:val="000000" w:themeColor="text1"/>
                <w:sz w:val="24"/>
                <w:highlight w:val="none"/>
                <w14:textFill>
                  <w14:solidFill>
                    <w14:schemeClr w14:val="tx1"/>
                  </w14:solidFill>
                </w14:textFill>
              </w:rPr>
            </w:pPr>
          </w:p>
        </w:tc>
        <w:tc>
          <w:tcPr>
            <w:tcW w:w="1572" w:type="dxa"/>
            <w:gridSpan w:val="2"/>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highlight w:val="none"/>
                <w14:textFill>
                  <w14:solidFill>
                    <w14:schemeClr w14:val="tx1"/>
                  </w14:solidFill>
                </w14:textFill>
              </w:rPr>
            </w:pPr>
          </w:p>
        </w:tc>
        <w:tc>
          <w:tcPr>
            <w:tcW w:w="1800" w:type="dxa"/>
            <w:gridSpan w:val="3"/>
          </w:tcPr>
          <w:p>
            <w:pPr>
              <w:spacing w:line="560" w:lineRule="exact"/>
              <w:jc w:val="center"/>
              <w:rPr>
                <w:b/>
                <w:color w:val="000000" w:themeColor="text1"/>
                <w:sz w:val="24"/>
                <w:highlight w:val="none"/>
                <w14:textFill>
                  <w14:solidFill>
                    <w14:schemeClr w14:val="tx1"/>
                  </w14:solidFill>
                </w14:textFill>
              </w:rPr>
            </w:pPr>
          </w:p>
        </w:tc>
        <w:tc>
          <w:tcPr>
            <w:tcW w:w="1800" w:type="dxa"/>
            <w:gridSpan w:val="2"/>
          </w:tcPr>
          <w:p>
            <w:pPr>
              <w:spacing w:line="560" w:lineRule="exact"/>
              <w:jc w:val="center"/>
              <w:rPr>
                <w:b/>
                <w:color w:val="000000" w:themeColor="text1"/>
                <w:sz w:val="24"/>
                <w:highlight w:val="none"/>
                <w14:textFill>
                  <w14:solidFill>
                    <w14:schemeClr w14:val="tx1"/>
                  </w14:solidFill>
                </w14:textFill>
              </w:rPr>
            </w:pPr>
          </w:p>
        </w:tc>
        <w:tc>
          <w:tcPr>
            <w:tcW w:w="1620" w:type="dxa"/>
            <w:gridSpan w:val="3"/>
          </w:tcPr>
          <w:p>
            <w:pPr>
              <w:spacing w:line="560" w:lineRule="exact"/>
              <w:jc w:val="center"/>
              <w:rPr>
                <w:b/>
                <w:color w:val="000000" w:themeColor="text1"/>
                <w:sz w:val="24"/>
                <w:highlight w:val="none"/>
                <w14:textFill>
                  <w14:solidFill>
                    <w14:schemeClr w14:val="tx1"/>
                  </w14:solidFill>
                </w14:textFill>
              </w:rPr>
            </w:pPr>
          </w:p>
        </w:tc>
        <w:tc>
          <w:tcPr>
            <w:tcW w:w="1572" w:type="dxa"/>
            <w:gridSpan w:val="2"/>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highlight w:val="none"/>
                <w14:textFill>
                  <w14:solidFill>
                    <w14:schemeClr w14:val="tx1"/>
                  </w14:solidFill>
                </w14:textFill>
              </w:rPr>
            </w:pPr>
          </w:p>
        </w:tc>
        <w:tc>
          <w:tcPr>
            <w:tcW w:w="1800" w:type="dxa"/>
            <w:gridSpan w:val="3"/>
          </w:tcPr>
          <w:p>
            <w:pPr>
              <w:spacing w:line="560" w:lineRule="exact"/>
              <w:jc w:val="center"/>
              <w:rPr>
                <w:b/>
                <w:color w:val="000000" w:themeColor="text1"/>
                <w:sz w:val="24"/>
                <w:highlight w:val="none"/>
                <w14:textFill>
                  <w14:solidFill>
                    <w14:schemeClr w14:val="tx1"/>
                  </w14:solidFill>
                </w14:textFill>
              </w:rPr>
            </w:pPr>
          </w:p>
        </w:tc>
        <w:tc>
          <w:tcPr>
            <w:tcW w:w="1800" w:type="dxa"/>
            <w:gridSpan w:val="2"/>
          </w:tcPr>
          <w:p>
            <w:pPr>
              <w:spacing w:line="560" w:lineRule="exact"/>
              <w:jc w:val="center"/>
              <w:rPr>
                <w:b/>
                <w:color w:val="000000" w:themeColor="text1"/>
                <w:sz w:val="24"/>
                <w:highlight w:val="none"/>
                <w14:textFill>
                  <w14:solidFill>
                    <w14:schemeClr w14:val="tx1"/>
                  </w14:solidFill>
                </w14:textFill>
              </w:rPr>
            </w:pPr>
          </w:p>
        </w:tc>
        <w:tc>
          <w:tcPr>
            <w:tcW w:w="1620" w:type="dxa"/>
            <w:gridSpan w:val="3"/>
          </w:tcPr>
          <w:p>
            <w:pPr>
              <w:spacing w:line="560" w:lineRule="exact"/>
              <w:jc w:val="center"/>
              <w:rPr>
                <w:b/>
                <w:color w:val="000000" w:themeColor="text1"/>
                <w:sz w:val="24"/>
                <w:highlight w:val="none"/>
                <w14:textFill>
                  <w14:solidFill>
                    <w14:schemeClr w14:val="tx1"/>
                  </w14:solidFill>
                </w14:textFill>
              </w:rPr>
            </w:pPr>
          </w:p>
        </w:tc>
        <w:tc>
          <w:tcPr>
            <w:tcW w:w="1572" w:type="dxa"/>
            <w:gridSpan w:val="2"/>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highlight w:val="none"/>
                <w14:textFill>
                  <w14:solidFill>
                    <w14:schemeClr w14:val="tx1"/>
                  </w14:solidFill>
                </w14:textFill>
              </w:rPr>
            </w:pPr>
          </w:p>
        </w:tc>
        <w:tc>
          <w:tcPr>
            <w:tcW w:w="1800" w:type="dxa"/>
            <w:gridSpan w:val="3"/>
          </w:tcPr>
          <w:p>
            <w:pPr>
              <w:spacing w:line="560" w:lineRule="exact"/>
              <w:jc w:val="center"/>
              <w:rPr>
                <w:b/>
                <w:color w:val="000000" w:themeColor="text1"/>
                <w:sz w:val="24"/>
                <w:highlight w:val="none"/>
                <w14:textFill>
                  <w14:solidFill>
                    <w14:schemeClr w14:val="tx1"/>
                  </w14:solidFill>
                </w14:textFill>
              </w:rPr>
            </w:pPr>
          </w:p>
        </w:tc>
        <w:tc>
          <w:tcPr>
            <w:tcW w:w="1800" w:type="dxa"/>
            <w:gridSpan w:val="2"/>
          </w:tcPr>
          <w:p>
            <w:pPr>
              <w:spacing w:line="560" w:lineRule="exact"/>
              <w:jc w:val="center"/>
              <w:rPr>
                <w:b/>
                <w:color w:val="000000" w:themeColor="text1"/>
                <w:sz w:val="24"/>
                <w:highlight w:val="none"/>
                <w14:textFill>
                  <w14:solidFill>
                    <w14:schemeClr w14:val="tx1"/>
                  </w14:solidFill>
                </w14:textFill>
              </w:rPr>
            </w:pPr>
          </w:p>
        </w:tc>
        <w:tc>
          <w:tcPr>
            <w:tcW w:w="1620" w:type="dxa"/>
            <w:gridSpan w:val="3"/>
          </w:tcPr>
          <w:p>
            <w:pPr>
              <w:spacing w:line="560" w:lineRule="exact"/>
              <w:jc w:val="center"/>
              <w:rPr>
                <w:b/>
                <w:color w:val="000000" w:themeColor="text1"/>
                <w:sz w:val="24"/>
                <w:highlight w:val="none"/>
                <w14:textFill>
                  <w14:solidFill>
                    <w14:schemeClr w14:val="tx1"/>
                  </w14:solidFill>
                </w14:textFill>
              </w:rPr>
            </w:pPr>
          </w:p>
        </w:tc>
        <w:tc>
          <w:tcPr>
            <w:tcW w:w="1572" w:type="dxa"/>
            <w:gridSpan w:val="2"/>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highlight w:val="none"/>
                <w14:textFill>
                  <w14:solidFill>
                    <w14:schemeClr w14:val="tx1"/>
                  </w14:solidFill>
                </w14:textFill>
              </w:rPr>
            </w:pPr>
          </w:p>
        </w:tc>
        <w:tc>
          <w:tcPr>
            <w:tcW w:w="1800" w:type="dxa"/>
            <w:gridSpan w:val="3"/>
          </w:tcPr>
          <w:p>
            <w:pPr>
              <w:spacing w:line="560" w:lineRule="exact"/>
              <w:jc w:val="center"/>
              <w:rPr>
                <w:b/>
                <w:color w:val="000000" w:themeColor="text1"/>
                <w:sz w:val="24"/>
                <w:highlight w:val="none"/>
                <w14:textFill>
                  <w14:solidFill>
                    <w14:schemeClr w14:val="tx1"/>
                  </w14:solidFill>
                </w14:textFill>
              </w:rPr>
            </w:pPr>
          </w:p>
        </w:tc>
        <w:tc>
          <w:tcPr>
            <w:tcW w:w="1800" w:type="dxa"/>
            <w:gridSpan w:val="2"/>
          </w:tcPr>
          <w:p>
            <w:pPr>
              <w:spacing w:line="560" w:lineRule="exact"/>
              <w:jc w:val="center"/>
              <w:rPr>
                <w:b/>
                <w:color w:val="000000" w:themeColor="text1"/>
                <w:sz w:val="24"/>
                <w:highlight w:val="none"/>
                <w14:textFill>
                  <w14:solidFill>
                    <w14:schemeClr w14:val="tx1"/>
                  </w14:solidFill>
                </w14:textFill>
              </w:rPr>
            </w:pPr>
          </w:p>
        </w:tc>
        <w:tc>
          <w:tcPr>
            <w:tcW w:w="1620" w:type="dxa"/>
            <w:gridSpan w:val="3"/>
          </w:tcPr>
          <w:p>
            <w:pPr>
              <w:spacing w:line="560" w:lineRule="exact"/>
              <w:jc w:val="center"/>
              <w:rPr>
                <w:b/>
                <w:color w:val="000000" w:themeColor="text1"/>
                <w:sz w:val="24"/>
                <w:highlight w:val="none"/>
                <w14:textFill>
                  <w14:solidFill>
                    <w14:schemeClr w14:val="tx1"/>
                  </w14:solidFill>
                </w14:textFill>
              </w:rPr>
            </w:pPr>
          </w:p>
        </w:tc>
        <w:tc>
          <w:tcPr>
            <w:tcW w:w="1572" w:type="dxa"/>
            <w:gridSpan w:val="2"/>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highlight w:val="none"/>
                <w14:textFill>
                  <w14:solidFill>
                    <w14:schemeClr w14:val="tx1"/>
                  </w14:solidFill>
                </w14:textFill>
              </w:rPr>
            </w:pPr>
          </w:p>
        </w:tc>
        <w:tc>
          <w:tcPr>
            <w:tcW w:w="1800" w:type="dxa"/>
            <w:gridSpan w:val="3"/>
          </w:tcPr>
          <w:p>
            <w:pPr>
              <w:spacing w:line="560" w:lineRule="exact"/>
              <w:jc w:val="center"/>
              <w:rPr>
                <w:b/>
                <w:color w:val="000000" w:themeColor="text1"/>
                <w:sz w:val="24"/>
                <w:highlight w:val="none"/>
                <w14:textFill>
                  <w14:solidFill>
                    <w14:schemeClr w14:val="tx1"/>
                  </w14:solidFill>
                </w14:textFill>
              </w:rPr>
            </w:pPr>
          </w:p>
        </w:tc>
        <w:tc>
          <w:tcPr>
            <w:tcW w:w="1800" w:type="dxa"/>
            <w:gridSpan w:val="2"/>
          </w:tcPr>
          <w:p>
            <w:pPr>
              <w:spacing w:line="560" w:lineRule="exact"/>
              <w:jc w:val="center"/>
              <w:rPr>
                <w:b/>
                <w:color w:val="000000" w:themeColor="text1"/>
                <w:sz w:val="24"/>
                <w:highlight w:val="none"/>
                <w14:textFill>
                  <w14:solidFill>
                    <w14:schemeClr w14:val="tx1"/>
                  </w14:solidFill>
                </w14:textFill>
              </w:rPr>
            </w:pPr>
          </w:p>
        </w:tc>
        <w:tc>
          <w:tcPr>
            <w:tcW w:w="1620" w:type="dxa"/>
            <w:gridSpan w:val="3"/>
          </w:tcPr>
          <w:p>
            <w:pPr>
              <w:spacing w:line="560" w:lineRule="exact"/>
              <w:jc w:val="center"/>
              <w:rPr>
                <w:b/>
                <w:color w:val="000000" w:themeColor="text1"/>
                <w:sz w:val="24"/>
                <w:highlight w:val="none"/>
                <w14:textFill>
                  <w14:solidFill>
                    <w14:schemeClr w14:val="tx1"/>
                  </w14:solidFill>
                </w14:textFill>
              </w:rPr>
            </w:pPr>
          </w:p>
        </w:tc>
        <w:tc>
          <w:tcPr>
            <w:tcW w:w="1572" w:type="dxa"/>
            <w:gridSpan w:val="2"/>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highlight w:val="none"/>
                <w14:textFill>
                  <w14:solidFill>
                    <w14:schemeClr w14:val="tx1"/>
                  </w14:solidFill>
                </w14:textFill>
              </w:rPr>
            </w:pPr>
          </w:p>
        </w:tc>
        <w:tc>
          <w:tcPr>
            <w:tcW w:w="1800" w:type="dxa"/>
            <w:gridSpan w:val="3"/>
          </w:tcPr>
          <w:p>
            <w:pPr>
              <w:spacing w:line="560" w:lineRule="exact"/>
              <w:jc w:val="center"/>
              <w:rPr>
                <w:b/>
                <w:color w:val="000000" w:themeColor="text1"/>
                <w:sz w:val="24"/>
                <w:highlight w:val="none"/>
                <w14:textFill>
                  <w14:solidFill>
                    <w14:schemeClr w14:val="tx1"/>
                  </w14:solidFill>
                </w14:textFill>
              </w:rPr>
            </w:pPr>
          </w:p>
        </w:tc>
        <w:tc>
          <w:tcPr>
            <w:tcW w:w="1800" w:type="dxa"/>
            <w:gridSpan w:val="2"/>
          </w:tcPr>
          <w:p>
            <w:pPr>
              <w:spacing w:line="560" w:lineRule="exact"/>
              <w:jc w:val="center"/>
              <w:rPr>
                <w:b/>
                <w:color w:val="000000" w:themeColor="text1"/>
                <w:sz w:val="24"/>
                <w:highlight w:val="none"/>
                <w14:textFill>
                  <w14:solidFill>
                    <w14:schemeClr w14:val="tx1"/>
                  </w14:solidFill>
                </w14:textFill>
              </w:rPr>
            </w:pPr>
          </w:p>
        </w:tc>
        <w:tc>
          <w:tcPr>
            <w:tcW w:w="1620" w:type="dxa"/>
            <w:gridSpan w:val="3"/>
          </w:tcPr>
          <w:p>
            <w:pPr>
              <w:spacing w:line="560" w:lineRule="exact"/>
              <w:jc w:val="center"/>
              <w:rPr>
                <w:b/>
                <w:color w:val="000000" w:themeColor="text1"/>
                <w:sz w:val="24"/>
                <w:highlight w:val="none"/>
                <w14:textFill>
                  <w14:solidFill>
                    <w14:schemeClr w14:val="tx1"/>
                  </w14:solidFill>
                </w14:textFill>
              </w:rPr>
            </w:pPr>
          </w:p>
        </w:tc>
        <w:tc>
          <w:tcPr>
            <w:tcW w:w="1572" w:type="dxa"/>
            <w:gridSpan w:val="2"/>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highlight w:val="none"/>
                <w14:textFill>
                  <w14:solidFill>
                    <w14:schemeClr w14:val="tx1"/>
                  </w14:solidFill>
                </w14:textFill>
              </w:rPr>
            </w:pPr>
          </w:p>
        </w:tc>
        <w:tc>
          <w:tcPr>
            <w:tcW w:w="1800" w:type="dxa"/>
            <w:gridSpan w:val="3"/>
          </w:tcPr>
          <w:p>
            <w:pPr>
              <w:spacing w:line="560" w:lineRule="exact"/>
              <w:jc w:val="center"/>
              <w:rPr>
                <w:b/>
                <w:color w:val="000000" w:themeColor="text1"/>
                <w:sz w:val="24"/>
                <w:highlight w:val="none"/>
                <w14:textFill>
                  <w14:solidFill>
                    <w14:schemeClr w14:val="tx1"/>
                  </w14:solidFill>
                </w14:textFill>
              </w:rPr>
            </w:pPr>
          </w:p>
        </w:tc>
        <w:tc>
          <w:tcPr>
            <w:tcW w:w="1800" w:type="dxa"/>
            <w:gridSpan w:val="2"/>
          </w:tcPr>
          <w:p>
            <w:pPr>
              <w:spacing w:line="560" w:lineRule="exact"/>
              <w:jc w:val="center"/>
              <w:rPr>
                <w:b/>
                <w:color w:val="000000" w:themeColor="text1"/>
                <w:sz w:val="24"/>
                <w:highlight w:val="none"/>
                <w14:textFill>
                  <w14:solidFill>
                    <w14:schemeClr w14:val="tx1"/>
                  </w14:solidFill>
                </w14:textFill>
              </w:rPr>
            </w:pPr>
          </w:p>
        </w:tc>
        <w:tc>
          <w:tcPr>
            <w:tcW w:w="1620" w:type="dxa"/>
            <w:gridSpan w:val="3"/>
          </w:tcPr>
          <w:p>
            <w:pPr>
              <w:spacing w:line="560" w:lineRule="exact"/>
              <w:jc w:val="center"/>
              <w:rPr>
                <w:b/>
                <w:color w:val="000000" w:themeColor="text1"/>
                <w:sz w:val="24"/>
                <w:highlight w:val="none"/>
                <w14:textFill>
                  <w14:solidFill>
                    <w14:schemeClr w14:val="tx1"/>
                  </w14:solidFill>
                </w14:textFill>
              </w:rPr>
            </w:pPr>
          </w:p>
        </w:tc>
        <w:tc>
          <w:tcPr>
            <w:tcW w:w="1572" w:type="dxa"/>
            <w:gridSpan w:val="2"/>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highlight w:val="none"/>
                <w14:textFill>
                  <w14:solidFill>
                    <w14:schemeClr w14:val="tx1"/>
                  </w14:solidFill>
                </w14:textFill>
              </w:rPr>
            </w:pPr>
          </w:p>
        </w:tc>
        <w:tc>
          <w:tcPr>
            <w:tcW w:w="1800" w:type="dxa"/>
            <w:gridSpan w:val="3"/>
          </w:tcPr>
          <w:p>
            <w:pPr>
              <w:spacing w:line="560" w:lineRule="exact"/>
              <w:jc w:val="center"/>
              <w:rPr>
                <w:b/>
                <w:color w:val="000000" w:themeColor="text1"/>
                <w:sz w:val="24"/>
                <w:highlight w:val="none"/>
                <w14:textFill>
                  <w14:solidFill>
                    <w14:schemeClr w14:val="tx1"/>
                  </w14:solidFill>
                </w14:textFill>
              </w:rPr>
            </w:pPr>
          </w:p>
        </w:tc>
        <w:tc>
          <w:tcPr>
            <w:tcW w:w="1800" w:type="dxa"/>
            <w:gridSpan w:val="2"/>
          </w:tcPr>
          <w:p>
            <w:pPr>
              <w:spacing w:line="560" w:lineRule="exact"/>
              <w:jc w:val="center"/>
              <w:rPr>
                <w:b/>
                <w:color w:val="000000" w:themeColor="text1"/>
                <w:sz w:val="24"/>
                <w:highlight w:val="none"/>
                <w14:textFill>
                  <w14:solidFill>
                    <w14:schemeClr w14:val="tx1"/>
                  </w14:solidFill>
                </w14:textFill>
              </w:rPr>
            </w:pPr>
          </w:p>
        </w:tc>
        <w:tc>
          <w:tcPr>
            <w:tcW w:w="1620" w:type="dxa"/>
            <w:gridSpan w:val="3"/>
          </w:tcPr>
          <w:p>
            <w:pPr>
              <w:spacing w:line="560" w:lineRule="exact"/>
              <w:jc w:val="center"/>
              <w:rPr>
                <w:b/>
                <w:color w:val="000000" w:themeColor="text1"/>
                <w:sz w:val="24"/>
                <w:highlight w:val="none"/>
                <w14:textFill>
                  <w14:solidFill>
                    <w14:schemeClr w14:val="tx1"/>
                  </w14:solidFill>
                </w14:textFill>
              </w:rPr>
            </w:pPr>
          </w:p>
        </w:tc>
        <w:tc>
          <w:tcPr>
            <w:tcW w:w="1572" w:type="dxa"/>
            <w:gridSpan w:val="2"/>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highlight w:val="none"/>
                <w14:textFill>
                  <w14:solidFill>
                    <w14:schemeClr w14:val="tx1"/>
                  </w14:solidFill>
                </w14:textFill>
              </w:rPr>
            </w:pPr>
          </w:p>
        </w:tc>
        <w:tc>
          <w:tcPr>
            <w:tcW w:w="1800" w:type="dxa"/>
            <w:gridSpan w:val="3"/>
          </w:tcPr>
          <w:p>
            <w:pPr>
              <w:spacing w:line="560" w:lineRule="exact"/>
              <w:jc w:val="center"/>
              <w:rPr>
                <w:b/>
                <w:color w:val="000000" w:themeColor="text1"/>
                <w:sz w:val="24"/>
                <w:highlight w:val="none"/>
                <w14:textFill>
                  <w14:solidFill>
                    <w14:schemeClr w14:val="tx1"/>
                  </w14:solidFill>
                </w14:textFill>
              </w:rPr>
            </w:pPr>
          </w:p>
        </w:tc>
        <w:tc>
          <w:tcPr>
            <w:tcW w:w="1800" w:type="dxa"/>
            <w:gridSpan w:val="2"/>
          </w:tcPr>
          <w:p>
            <w:pPr>
              <w:spacing w:line="560" w:lineRule="exact"/>
              <w:jc w:val="center"/>
              <w:rPr>
                <w:b/>
                <w:color w:val="000000" w:themeColor="text1"/>
                <w:sz w:val="24"/>
                <w:highlight w:val="none"/>
                <w14:textFill>
                  <w14:solidFill>
                    <w14:schemeClr w14:val="tx1"/>
                  </w14:solidFill>
                </w14:textFill>
              </w:rPr>
            </w:pPr>
          </w:p>
        </w:tc>
        <w:tc>
          <w:tcPr>
            <w:tcW w:w="1620" w:type="dxa"/>
            <w:gridSpan w:val="3"/>
          </w:tcPr>
          <w:p>
            <w:pPr>
              <w:spacing w:line="560" w:lineRule="exact"/>
              <w:jc w:val="center"/>
              <w:rPr>
                <w:b/>
                <w:color w:val="000000" w:themeColor="text1"/>
                <w:sz w:val="24"/>
                <w:highlight w:val="none"/>
                <w14:textFill>
                  <w14:solidFill>
                    <w14:schemeClr w14:val="tx1"/>
                  </w14:solidFill>
                </w14:textFill>
              </w:rPr>
            </w:pPr>
          </w:p>
        </w:tc>
        <w:tc>
          <w:tcPr>
            <w:tcW w:w="1572" w:type="dxa"/>
            <w:gridSpan w:val="2"/>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highlight w:val="none"/>
                <w14:textFill>
                  <w14:solidFill>
                    <w14:schemeClr w14:val="tx1"/>
                  </w14:solidFill>
                </w14:textFill>
              </w:rPr>
            </w:pPr>
          </w:p>
        </w:tc>
        <w:tc>
          <w:tcPr>
            <w:tcW w:w="1800" w:type="dxa"/>
            <w:gridSpan w:val="3"/>
          </w:tcPr>
          <w:p>
            <w:pPr>
              <w:spacing w:line="560" w:lineRule="exact"/>
              <w:jc w:val="center"/>
              <w:rPr>
                <w:b/>
                <w:color w:val="000000" w:themeColor="text1"/>
                <w:sz w:val="24"/>
                <w:highlight w:val="none"/>
                <w14:textFill>
                  <w14:solidFill>
                    <w14:schemeClr w14:val="tx1"/>
                  </w14:solidFill>
                </w14:textFill>
              </w:rPr>
            </w:pPr>
          </w:p>
        </w:tc>
        <w:tc>
          <w:tcPr>
            <w:tcW w:w="1800" w:type="dxa"/>
            <w:gridSpan w:val="2"/>
          </w:tcPr>
          <w:p>
            <w:pPr>
              <w:spacing w:line="560" w:lineRule="exact"/>
              <w:jc w:val="center"/>
              <w:rPr>
                <w:b/>
                <w:color w:val="000000" w:themeColor="text1"/>
                <w:sz w:val="24"/>
                <w:highlight w:val="none"/>
                <w14:textFill>
                  <w14:solidFill>
                    <w14:schemeClr w14:val="tx1"/>
                  </w14:solidFill>
                </w14:textFill>
              </w:rPr>
            </w:pPr>
          </w:p>
        </w:tc>
        <w:tc>
          <w:tcPr>
            <w:tcW w:w="1620" w:type="dxa"/>
            <w:gridSpan w:val="3"/>
          </w:tcPr>
          <w:p>
            <w:pPr>
              <w:spacing w:line="560" w:lineRule="exact"/>
              <w:jc w:val="center"/>
              <w:rPr>
                <w:b/>
                <w:color w:val="000000" w:themeColor="text1"/>
                <w:sz w:val="24"/>
                <w:highlight w:val="none"/>
                <w14:textFill>
                  <w14:solidFill>
                    <w14:schemeClr w14:val="tx1"/>
                  </w14:solidFill>
                </w14:textFill>
              </w:rPr>
            </w:pPr>
          </w:p>
        </w:tc>
        <w:tc>
          <w:tcPr>
            <w:tcW w:w="1572" w:type="dxa"/>
            <w:gridSpan w:val="2"/>
          </w:tcPr>
          <w:p>
            <w:pPr>
              <w:spacing w:line="560" w:lineRule="exact"/>
              <w:jc w:val="center"/>
              <w:rPr>
                <w:b/>
                <w:color w:val="000000" w:themeColor="text1"/>
                <w:sz w:val="24"/>
                <w:highlight w:val="none"/>
                <w14:textFill>
                  <w14:solidFill>
                    <w14:schemeClr w14:val="tx1"/>
                  </w14:solidFill>
                </w14:textFill>
              </w:rPr>
            </w:pPr>
          </w:p>
        </w:tc>
      </w:tr>
    </w:tbl>
    <w:p>
      <w:pPr>
        <w:spacing w:line="560" w:lineRule="exact"/>
        <w:jc w:val="center"/>
        <w:rPr>
          <w:b/>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附件5-2</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主要施工人员表</w:t>
      </w:r>
    </w:p>
    <w:p>
      <w:pPr>
        <w:spacing w:line="560" w:lineRule="exact"/>
        <w:jc w:val="center"/>
        <w:rPr>
          <w:b/>
          <w:color w:val="000000" w:themeColor="text1"/>
          <w:sz w:val="24"/>
          <w:highlight w:val="none"/>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080"/>
        <w:gridCol w:w="1080"/>
        <w:gridCol w:w="108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名称</w:t>
            </w:r>
          </w:p>
        </w:tc>
        <w:tc>
          <w:tcPr>
            <w:tcW w:w="108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姓名</w:t>
            </w:r>
          </w:p>
        </w:tc>
        <w:tc>
          <w:tcPr>
            <w:tcW w:w="108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职务</w:t>
            </w:r>
          </w:p>
        </w:tc>
        <w:tc>
          <w:tcPr>
            <w:tcW w:w="108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职称</w:t>
            </w:r>
          </w:p>
        </w:tc>
        <w:tc>
          <w:tcPr>
            <w:tcW w:w="360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0" w:hRule="atLeast"/>
          <w:jc w:val="center"/>
        </w:trPr>
        <w:tc>
          <w:tcPr>
            <w:tcW w:w="2088" w:type="dxa"/>
          </w:tcPr>
          <w:p>
            <w:pPr>
              <w:numPr>
                <w:ilvl w:val="0"/>
                <w:numId w:val="2"/>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总部</w:t>
            </w:r>
          </w:p>
          <w:p>
            <w:pPr>
              <w:numPr>
                <w:ilvl w:val="0"/>
                <w:numId w:val="3"/>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项目主管</w:t>
            </w:r>
          </w:p>
          <w:p>
            <w:pPr>
              <w:numPr>
                <w:ilvl w:val="0"/>
                <w:numId w:val="3"/>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其他人员</w:t>
            </w:r>
          </w:p>
          <w:p>
            <w:pPr>
              <w:spacing w:line="560" w:lineRule="exact"/>
              <w:rPr>
                <w:color w:val="000000" w:themeColor="text1"/>
                <w:sz w:val="24"/>
                <w:highlight w:val="none"/>
                <w14:textFill>
                  <w14:solidFill>
                    <w14:schemeClr w14:val="tx1"/>
                  </w14:solidFill>
                </w14:textFill>
              </w:rPr>
            </w:pPr>
          </w:p>
          <w:p>
            <w:pPr>
              <w:numPr>
                <w:ilvl w:val="0"/>
                <w:numId w:val="2"/>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现场</w:t>
            </w:r>
          </w:p>
          <w:p>
            <w:pPr>
              <w:numPr>
                <w:ilvl w:val="0"/>
                <w:numId w:val="4"/>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项目经理</w:t>
            </w:r>
          </w:p>
          <w:p>
            <w:pPr>
              <w:numPr>
                <w:ilvl w:val="0"/>
                <w:numId w:val="4"/>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项目副经理</w:t>
            </w:r>
          </w:p>
          <w:p>
            <w:pPr>
              <w:numPr>
                <w:ilvl w:val="0"/>
                <w:numId w:val="4"/>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质量管理</w:t>
            </w:r>
          </w:p>
          <w:p>
            <w:pPr>
              <w:numPr>
                <w:ilvl w:val="0"/>
                <w:numId w:val="4"/>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材料管理</w:t>
            </w:r>
          </w:p>
          <w:p>
            <w:pPr>
              <w:numPr>
                <w:ilvl w:val="0"/>
                <w:numId w:val="4"/>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计划管理</w:t>
            </w:r>
          </w:p>
          <w:p>
            <w:pPr>
              <w:numPr>
                <w:ilvl w:val="0"/>
                <w:numId w:val="4"/>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安全管理</w:t>
            </w:r>
          </w:p>
        </w:tc>
        <w:tc>
          <w:tcPr>
            <w:tcW w:w="1080" w:type="dxa"/>
            <w:vAlign w:val="center"/>
          </w:tcPr>
          <w:p>
            <w:pPr>
              <w:spacing w:line="560" w:lineRule="exact"/>
              <w:rPr>
                <w:color w:val="000000" w:themeColor="text1"/>
                <w:sz w:val="24"/>
                <w:highlight w:val="none"/>
                <w14:textFill>
                  <w14:solidFill>
                    <w14:schemeClr w14:val="tx1"/>
                  </w14:solidFill>
                </w14:textFill>
              </w:rPr>
            </w:pPr>
          </w:p>
        </w:tc>
        <w:tc>
          <w:tcPr>
            <w:tcW w:w="1080" w:type="dxa"/>
            <w:vAlign w:val="center"/>
          </w:tcPr>
          <w:p>
            <w:pPr>
              <w:spacing w:line="560" w:lineRule="exact"/>
              <w:rPr>
                <w:color w:val="000000" w:themeColor="text1"/>
                <w:sz w:val="24"/>
                <w:highlight w:val="none"/>
                <w14:textFill>
                  <w14:solidFill>
                    <w14:schemeClr w14:val="tx1"/>
                  </w14:solidFill>
                </w14:textFill>
              </w:rPr>
            </w:pPr>
          </w:p>
        </w:tc>
        <w:tc>
          <w:tcPr>
            <w:tcW w:w="1080" w:type="dxa"/>
            <w:vAlign w:val="center"/>
          </w:tcPr>
          <w:p>
            <w:pPr>
              <w:spacing w:line="560" w:lineRule="exact"/>
              <w:rPr>
                <w:color w:val="000000" w:themeColor="text1"/>
                <w:sz w:val="24"/>
                <w:highlight w:val="none"/>
                <w14:textFill>
                  <w14:solidFill>
                    <w14:schemeClr w14:val="tx1"/>
                  </w14:solidFill>
                </w14:textFill>
              </w:rPr>
            </w:pPr>
          </w:p>
        </w:tc>
        <w:tc>
          <w:tcPr>
            <w:tcW w:w="3600" w:type="dxa"/>
            <w:vAlign w:val="center"/>
          </w:tcPr>
          <w:p>
            <w:pPr>
              <w:spacing w:line="560" w:lineRule="exact"/>
              <w:rPr>
                <w:color w:val="000000" w:themeColor="text1"/>
                <w:sz w:val="24"/>
                <w:highlight w:val="none"/>
                <w14:textFill>
                  <w14:solidFill>
                    <w14:schemeClr w14:val="tx1"/>
                  </w14:solidFill>
                </w14:textFill>
              </w:rPr>
            </w:pPr>
          </w:p>
        </w:tc>
      </w:tr>
    </w:tbl>
    <w:p>
      <w:pPr>
        <w:spacing w:line="560" w:lineRule="exact"/>
        <w:jc w:val="center"/>
        <w:rPr>
          <w:b/>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附件5-3</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主要施工机械设备表</w:t>
      </w:r>
    </w:p>
    <w:p>
      <w:pPr>
        <w:spacing w:line="560" w:lineRule="exact"/>
        <w:jc w:val="center"/>
        <w:rPr>
          <w:b/>
          <w:color w:val="000000" w:themeColor="text1"/>
          <w:sz w:val="24"/>
          <w:highlight w:val="none"/>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160"/>
        <w:gridCol w:w="1440"/>
        <w:gridCol w:w="900"/>
        <w:gridCol w:w="900"/>
        <w:gridCol w:w="900"/>
        <w:gridCol w:w="900"/>
        <w:gridCol w:w="900"/>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216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机械或设备名称</w:t>
            </w:r>
          </w:p>
        </w:tc>
        <w:tc>
          <w:tcPr>
            <w:tcW w:w="144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型号规格</w:t>
            </w:r>
          </w:p>
        </w:tc>
        <w:tc>
          <w:tcPr>
            <w:tcW w:w="90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c>
          <w:tcPr>
            <w:tcW w:w="90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国别产地</w:t>
            </w:r>
          </w:p>
        </w:tc>
        <w:tc>
          <w:tcPr>
            <w:tcW w:w="90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制造年份</w:t>
            </w:r>
          </w:p>
        </w:tc>
        <w:tc>
          <w:tcPr>
            <w:tcW w:w="90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额定功率</w:t>
            </w:r>
          </w:p>
        </w:tc>
        <w:tc>
          <w:tcPr>
            <w:tcW w:w="90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生产能力</w:t>
            </w:r>
          </w:p>
        </w:tc>
        <w:tc>
          <w:tcPr>
            <w:tcW w:w="665"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highlight w:val="none"/>
                <w14:textFill>
                  <w14:solidFill>
                    <w14:schemeClr w14:val="tx1"/>
                  </w14:solidFill>
                </w14:textFill>
              </w:rPr>
            </w:pPr>
          </w:p>
        </w:tc>
        <w:tc>
          <w:tcPr>
            <w:tcW w:w="2160"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900" w:type="dxa"/>
          </w:tcPr>
          <w:p>
            <w:pPr>
              <w:spacing w:line="560" w:lineRule="exact"/>
              <w:jc w:val="center"/>
              <w:rPr>
                <w:b/>
                <w:color w:val="000000" w:themeColor="text1"/>
                <w:sz w:val="24"/>
                <w:highlight w:val="none"/>
                <w14:textFill>
                  <w14:solidFill>
                    <w14:schemeClr w14:val="tx1"/>
                  </w14:solidFill>
                </w14:textFill>
              </w:rPr>
            </w:pPr>
          </w:p>
        </w:tc>
        <w:tc>
          <w:tcPr>
            <w:tcW w:w="665" w:type="dxa"/>
          </w:tcPr>
          <w:p>
            <w:pPr>
              <w:spacing w:line="560" w:lineRule="exact"/>
              <w:jc w:val="center"/>
              <w:rPr>
                <w:b/>
                <w:color w:val="000000" w:themeColor="text1"/>
                <w:sz w:val="24"/>
                <w:highlight w:val="none"/>
                <w14:textFill>
                  <w14:solidFill>
                    <w14:schemeClr w14:val="tx1"/>
                  </w14:solidFill>
                </w14:textFill>
              </w:rPr>
            </w:pPr>
          </w:p>
        </w:tc>
      </w:tr>
    </w:tbl>
    <w:p>
      <w:pPr>
        <w:spacing w:line="560" w:lineRule="exact"/>
        <w:jc w:val="center"/>
        <w:rPr>
          <w:b/>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附件5-4</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项目拟分包情况表</w:t>
      </w:r>
    </w:p>
    <w:p>
      <w:pPr>
        <w:spacing w:line="560" w:lineRule="exact"/>
        <w:jc w:val="center"/>
        <w:rPr>
          <w:b/>
          <w:color w:val="000000" w:themeColor="text1"/>
          <w:sz w:val="24"/>
          <w:highlight w:val="none"/>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620"/>
        <w:gridCol w:w="198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分包项目</w:t>
            </w:r>
          </w:p>
        </w:tc>
        <w:tc>
          <w:tcPr>
            <w:tcW w:w="1440" w:type="dxa"/>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主要内容</w:t>
            </w:r>
          </w:p>
        </w:tc>
        <w:tc>
          <w:tcPr>
            <w:tcW w:w="1620" w:type="dxa"/>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估算价格</w:t>
            </w:r>
          </w:p>
        </w:tc>
        <w:tc>
          <w:tcPr>
            <w:tcW w:w="1980" w:type="dxa"/>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分包单位名称</w:t>
            </w:r>
          </w:p>
        </w:tc>
        <w:tc>
          <w:tcPr>
            <w:tcW w:w="2112" w:type="dxa"/>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做过同类工程的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5" w:hRule="atLeast"/>
        </w:trPr>
        <w:tc>
          <w:tcPr>
            <w:tcW w:w="1368" w:type="dxa"/>
          </w:tcPr>
          <w:p>
            <w:pPr>
              <w:spacing w:line="560" w:lineRule="exact"/>
              <w:jc w:val="center"/>
              <w:rPr>
                <w:b/>
                <w:color w:val="000000" w:themeColor="text1"/>
                <w:sz w:val="24"/>
                <w:highlight w:val="none"/>
                <w14:textFill>
                  <w14:solidFill>
                    <w14:schemeClr w14:val="tx1"/>
                  </w14:solidFill>
                </w14:textFill>
              </w:rPr>
            </w:pPr>
          </w:p>
        </w:tc>
        <w:tc>
          <w:tcPr>
            <w:tcW w:w="1440" w:type="dxa"/>
          </w:tcPr>
          <w:p>
            <w:pPr>
              <w:spacing w:line="560" w:lineRule="exact"/>
              <w:jc w:val="center"/>
              <w:rPr>
                <w:b/>
                <w:color w:val="000000" w:themeColor="text1"/>
                <w:sz w:val="24"/>
                <w:highlight w:val="none"/>
                <w14:textFill>
                  <w14:solidFill>
                    <w14:schemeClr w14:val="tx1"/>
                  </w14:solidFill>
                </w14:textFill>
              </w:rPr>
            </w:pPr>
          </w:p>
        </w:tc>
        <w:tc>
          <w:tcPr>
            <w:tcW w:w="1620" w:type="dxa"/>
          </w:tcPr>
          <w:p>
            <w:pPr>
              <w:spacing w:line="560" w:lineRule="exact"/>
              <w:jc w:val="center"/>
              <w:rPr>
                <w:b/>
                <w:color w:val="000000" w:themeColor="text1"/>
                <w:sz w:val="24"/>
                <w:highlight w:val="none"/>
                <w14:textFill>
                  <w14:solidFill>
                    <w14:schemeClr w14:val="tx1"/>
                  </w14:solidFill>
                </w14:textFill>
              </w:rPr>
            </w:pPr>
          </w:p>
        </w:tc>
        <w:tc>
          <w:tcPr>
            <w:tcW w:w="1980" w:type="dxa"/>
          </w:tcPr>
          <w:p>
            <w:pPr>
              <w:spacing w:line="560" w:lineRule="exact"/>
              <w:jc w:val="center"/>
              <w:rPr>
                <w:b/>
                <w:color w:val="000000" w:themeColor="text1"/>
                <w:sz w:val="24"/>
                <w:highlight w:val="none"/>
                <w14:textFill>
                  <w14:solidFill>
                    <w14:schemeClr w14:val="tx1"/>
                  </w14:solidFill>
                </w14:textFill>
              </w:rPr>
            </w:pPr>
          </w:p>
        </w:tc>
        <w:tc>
          <w:tcPr>
            <w:tcW w:w="2112" w:type="dxa"/>
          </w:tcPr>
          <w:p>
            <w:pPr>
              <w:spacing w:line="560" w:lineRule="exact"/>
              <w:jc w:val="center"/>
              <w:rPr>
                <w:b/>
                <w:color w:val="000000" w:themeColor="text1"/>
                <w:sz w:val="24"/>
                <w:highlight w:val="none"/>
                <w14:textFill>
                  <w14:solidFill>
                    <w14:schemeClr w14:val="tx1"/>
                  </w14:solidFill>
                </w14:textFill>
              </w:rPr>
            </w:pPr>
          </w:p>
        </w:tc>
      </w:tr>
    </w:tbl>
    <w:p>
      <w:pPr>
        <w:spacing w:line="560" w:lineRule="exact"/>
        <w:jc w:val="center"/>
        <w:rPr>
          <w:b/>
          <w:color w:val="000000" w:themeColor="text1"/>
          <w:sz w:val="24"/>
          <w:highlight w:val="none"/>
          <w14:textFill>
            <w14:solidFill>
              <w14:schemeClr w14:val="tx1"/>
            </w14:solidFill>
          </w14:textFill>
        </w:rPr>
      </w:pPr>
    </w:p>
    <w:p>
      <w:pPr>
        <w:spacing w:line="560" w:lineRule="exact"/>
        <w:jc w:val="center"/>
        <w:rPr>
          <w:b/>
          <w:color w:val="000000" w:themeColor="text1"/>
          <w:sz w:val="24"/>
          <w:highlight w:val="none"/>
          <w14:textFill>
            <w14:solidFill>
              <w14:schemeClr w14:val="tx1"/>
            </w14:solidFill>
          </w14:textFill>
        </w:rPr>
      </w:pPr>
    </w:p>
    <w:p>
      <w:pPr>
        <w:spacing w:line="560" w:lineRule="exact"/>
        <w:jc w:val="center"/>
        <w:rPr>
          <w:b/>
          <w:color w:val="000000" w:themeColor="text1"/>
          <w:sz w:val="24"/>
          <w:highlight w:val="none"/>
          <w14:textFill>
            <w14:solidFill>
              <w14:schemeClr w14:val="tx1"/>
            </w14:solidFill>
          </w14:textFill>
        </w:rPr>
      </w:pPr>
    </w:p>
    <w:p>
      <w:pPr>
        <w:spacing w:line="560" w:lineRule="exact"/>
        <w:jc w:val="center"/>
        <w:rPr>
          <w:b/>
          <w:color w:val="000000" w:themeColor="text1"/>
          <w:sz w:val="24"/>
          <w:highlight w:val="none"/>
          <w14:textFill>
            <w14:solidFill>
              <w14:schemeClr w14:val="tx1"/>
            </w14:solidFill>
          </w14:textFill>
        </w:rPr>
      </w:pPr>
    </w:p>
    <w:p>
      <w:pPr>
        <w:spacing w:line="560" w:lineRule="exact"/>
        <w:jc w:val="center"/>
        <w:rPr>
          <w:b/>
          <w:color w:val="000000" w:themeColor="text1"/>
          <w:sz w:val="24"/>
          <w:highlight w:val="none"/>
          <w14:textFill>
            <w14:solidFill>
              <w14:schemeClr w14:val="tx1"/>
            </w14:solidFill>
          </w14:textFill>
        </w:rPr>
      </w:pPr>
    </w:p>
    <w:p>
      <w:pPr>
        <w:spacing w:line="560" w:lineRule="exact"/>
        <w:jc w:val="center"/>
        <w:rPr>
          <w:b/>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附件5-5</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劳动力计划表</w:t>
      </w:r>
    </w:p>
    <w:p>
      <w:pPr>
        <w:spacing w:line="560" w:lineRule="exact"/>
        <w:rPr>
          <w:color w:val="000000" w:themeColor="text1"/>
          <w:sz w:val="24"/>
          <w:highlight w:val="none"/>
          <w14:textFill>
            <w14:solidFill>
              <w14:schemeClr w14:val="tx1"/>
            </w14:solidFill>
          </w14:textFill>
        </w:rPr>
      </w:pPr>
    </w:p>
    <w:p>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供应商应按所列格式提交包括分包人在内的估计的劳动力计划表。本计划表是以每班八小时工作制为基础的。</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65"/>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0" w:type="dxa"/>
            <w:vMerge w:val="restart"/>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工种、级别</w:t>
            </w:r>
          </w:p>
        </w:tc>
        <w:tc>
          <w:tcPr>
            <w:tcW w:w="6390" w:type="dxa"/>
            <w:gridSpan w:val="6"/>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0" w:type="dxa"/>
            <w:vMerge w:val="continue"/>
            <w:vAlign w:val="center"/>
          </w:tcPr>
          <w:p>
            <w:pPr>
              <w:spacing w:line="560" w:lineRule="exact"/>
              <w:jc w:val="center"/>
              <w:rPr>
                <w:color w:val="000000" w:themeColor="text1"/>
                <w:sz w:val="24"/>
                <w:highlight w:val="none"/>
                <w14:textFill>
                  <w14:solidFill>
                    <w14:schemeClr w14:val="tx1"/>
                  </w14:solidFill>
                </w14:textFill>
              </w:rPr>
            </w:pPr>
          </w:p>
        </w:tc>
        <w:tc>
          <w:tcPr>
            <w:tcW w:w="1065" w:type="dxa"/>
            <w:vAlign w:val="center"/>
          </w:tcPr>
          <w:p>
            <w:pPr>
              <w:spacing w:line="560" w:lineRule="exact"/>
              <w:jc w:val="center"/>
              <w:rPr>
                <w:color w:val="000000" w:themeColor="text1"/>
                <w:sz w:val="24"/>
                <w:highlight w:val="none"/>
                <w14:textFill>
                  <w14:solidFill>
                    <w14:schemeClr w14:val="tx1"/>
                  </w14:solidFill>
                </w14:textFill>
              </w:rPr>
            </w:pPr>
          </w:p>
        </w:tc>
        <w:tc>
          <w:tcPr>
            <w:tcW w:w="1065" w:type="dxa"/>
            <w:vAlign w:val="center"/>
          </w:tcPr>
          <w:p>
            <w:pPr>
              <w:spacing w:line="560" w:lineRule="exact"/>
              <w:jc w:val="center"/>
              <w:rPr>
                <w:color w:val="000000" w:themeColor="text1"/>
                <w:sz w:val="24"/>
                <w:highlight w:val="none"/>
                <w14:textFill>
                  <w14:solidFill>
                    <w14:schemeClr w14:val="tx1"/>
                  </w14:solidFill>
                </w14:textFill>
              </w:rPr>
            </w:pPr>
          </w:p>
        </w:tc>
        <w:tc>
          <w:tcPr>
            <w:tcW w:w="1065" w:type="dxa"/>
            <w:vAlign w:val="center"/>
          </w:tcPr>
          <w:p>
            <w:pPr>
              <w:spacing w:line="560" w:lineRule="exact"/>
              <w:jc w:val="center"/>
              <w:rPr>
                <w:color w:val="000000" w:themeColor="text1"/>
                <w:sz w:val="24"/>
                <w:highlight w:val="none"/>
                <w14:textFill>
                  <w14:solidFill>
                    <w14:schemeClr w14:val="tx1"/>
                  </w14:solidFill>
                </w14:textFill>
              </w:rPr>
            </w:pPr>
          </w:p>
        </w:tc>
        <w:tc>
          <w:tcPr>
            <w:tcW w:w="1065" w:type="dxa"/>
            <w:vAlign w:val="center"/>
          </w:tcPr>
          <w:p>
            <w:pPr>
              <w:spacing w:line="560" w:lineRule="exact"/>
              <w:jc w:val="center"/>
              <w:rPr>
                <w:color w:val="000000" w:themeColor="text1"/>
                <w:sz w:val="24"/>
                <w:highlight w:val="none"/>
                <w14:textFill>
                  <w14:solidFill>
                    <w14:schemeClr w14:val="tx1"/>
                  </w14:solidFill>
                </w14:textFill>
              </w:rPr>
            </w:pPr>
          </w:p>
        </w:tc>
        <w:tc>
          <w:tcPr>
            <w:tcW w:w="1065" w:type="dxa"/>
            <w:vAlign w:val="center"/>
          </w:tcPr>
          <w:p>
            <w:pPr>
              <w:spacing w:line="560" w:lineRule="exact"/>
              <w:jc w:val="center"/>
              <w:rPr>
                <w:color w:val="000000" w:themeColor="text1"/>
                <w:sz w:val="24"/>
                <w:highlight w:val="none"/>
                <w14:textFill>
                  <w14:solidFill>
                    <w14:schemeClr w14:val="tx1"/>
                  </w14:solidFill>
                </w14:textFill>
              </w:rPr>
            </w:pPr>
          </w:p>
        </w:tc>
        <w:tc>
          <w:tcPr>
            <w:tcW w:w="1065" w:type="dxa"/>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2" w:hRule="atLeast"/>
        </w:trPr>
        <w:tc>
          <w:tcPr>
            <w:tcW w:w="2130" w:type="dxa"/>
          </w:tcPr>
          <w:p>
            <w:pPr>
              <w:spacing w:line="560" w:lineRule="exact"/>
              <w:rPr>
                <w:color w:val="000000" w:themeColor="text1"/>
                <w:sz w:val="24"/>
                <w:highlight w:val="none"/>
                <w14:textFill>
                  <w14:solidFill>
                    <w14:schemeClr w14:val="tx1"/>
                  </w14:solidFill>
                </w14:textFill>
              </w:rPr>
            </w:pPr>
          </w:p>
        </w:tc>
        <w:tc>
          <w:tcPr>
            <w:tcW w:w="1065" w:type="dxa"/>
          </w:tcPr>
          <w:p>
            <w:pPr>
              <w:spacing w:line="560" w:lineRule="exact"/>
              <w:rPr>
                <w:color w:val="000000" w:themeColor="text1"/>
                <w:sz w:val="24"/>
                <w:highlight w:val="none"/>
                <w14:textFill>
                  <w14:solidFill>
                    <w14:schemeClr w14:val="tx1"/>
                  </w14:solidFill>
                </w14:textFill>
              </w:rPr>
            </w:pPr>
          </w:p>
        </w:tc>
        <w:tc>
          <w:tcPr>
            <w:tcW w:w="1065" w:type="dxa"/>
          </w:tcPr>
          <w:p>
            <w:pPr>
              <w:spacing w:line="560" w:lineRule="exact"/>
              <w:rPr>
                <w:color w:val="000000" w:themeColor="text1"/>
                <w:sz w:val="24"/>
                <w:highlight w:val="none"/>
                <w14:textFill>
                  <w14:solidFill>
                    <w14:schemeClr w14:val="tx1"/>
                  </w14:solidFill>
                </w14:textFill>
              </w:rPr>
            </w:pPr>
          </w:p>
        </w:tc>
        <w:tc>
          <w:tcPr>
            <w:tcW w:w="1065" w:type="dxa"/>
          </w:tcPr>
          <w:p>
            <w:pPr>
              <w:spacing w:line="560" w:lineRule="exact"/>
              <w:rPr>
                <w:color w:val="000000" w:themeColor="text1"/>
                <w:sz w:val="24"/>
                <w:highlight w:val="none"/>
                <w14:textFill>
                  <w14:solidFill>
                    <w14:schemeClr w14:val="tx1"/>
                  </w14:solidFill>
                </w14:textFill>
              </w:rPr>
            </w:pPr>
          </w:p>
        </w:tc>
        <w:tc>
          <w:tcPr>
            <w:tcW w:w="1065" w:type="dxa"/>
          </w:tcPr>
          <w:p>
            <w:pPr>
              <w:spacing w:line="560" w:lineRule="exact"/>
              <w:rPr>
                <w:color w:val="000000" w:themeColor="text1"/>
                <w:sz w:val="24"/>
                <w:highlight w:val="none"/>
                <w14:textFill>
                  <w14:solidFill>
                    <w14:schemeClr w14:val="tx1"/>
                  </w14:solidFill>
                </w14:textFill>
              </w:rPr>
            </w:pPr>
          </w:p>
        </w:tc>
        <w:tc>
          <w:tcPr>
            <w:tcW w:w="1065" w:type="dxa"/>
          </w:tcPr>
          <w:p>
            <w:pPr>
              <w:spacing w:line="560" w:lineRule="exact"/>
              <w:rPr>
                <w:color w:val="000000" w:themeColor="text1"/>
                <w:sz w:val="24"/>
                <w:highlight w:val="none"/>
                <w14:textFill>
                  <w14:solidFill>
                    <w14:schemeClr w14:val="tx1"/>
                  </w14:solidFill>
                </w14:textFill>
              </w:rPr>
            </w:pPr>
          </w:p>
        </w:tc>
        <w:tc>
          <w:tcPr>
            <w:tcW w:w="1065" w:type="dxa"/>
          </w:tcPr>
          <w:p>
            <w:pPr>
              <w:spacing w:line="560" w:lineRule="exact"/>
              <w:rPr>
                <w:color w:val="000000" w:themeColor="text1"/>
                <w:sz w:val="24"/>
                <w:highlight w:val="none"/>
                <w14:textFill>
                  <w14:solidFill>
                    <w14:schemeClr w14:val="tx1"/>
                  </w14:solidFill>
                </w14:textFill>
              </w:rPr>
            </w:pPr>
          </w:p>
        </w:tc>
      </w:tr>
    </w:tbl>
    <w:p>
      <w:pPr>
        <w:spacing w:line="560" w:lineRule="exact"/>
        <w:ind w:firstLine="480"/>
        <w:rPr>
          <w:color w:val="000000" w:themeColor="text1"/>
          <w:sz w:val="24"/>
          <w:highlight w:val="none"/>
          <w14:textFill>
            <w14:solidFill>
              <w14:schemeClr w14:val="tx1"/>
            </w14:solidFill>
          </w14:textFill>
        </w:rPr>
      </w:pPr>
    </w:p>
    <w:p>
      <w:pPr>
        <w:spacing w:line="560" w:lineRule="exact"/>
        <w:jc w:val="center"/>
        <w:rPr>
          <w:b/>
          <w:color w:val="000000" w:themeColor="text1"/>
          <w:sz w:val="24"/>
          <w:highlight w:val="none"/>
          <w14:textFill>
            <w14:solidFill>
              <w14:schemeClr w14:val="tx1"/>
            </w14:solidFill>
          </w14:textFill>
        </w:rPr>
      </w:pPr>
    </w:p>
    <w:p>
      <w:pPr>
        <w:spacing w:line="560" w:lineRule="exact"/>
        <w:jc w:val="center"/>
        <w:rPr>
          <w:b/>
          <w:color w:val="000000" w:themeColor="text1"/>
          <w:sz w:val="24"/>
          <w:highlight w:val="none"/>
          <w14:textFill>
            <w14:solidFill>
              <w14:schemeClr w14:val="tx1"/>
            </w14:solidFill>
          </w14:textFill>
        </w:rPr>
      </w:pPr>
    </w:p>
    <w:p>
      <w:pPr>
        <w:spacing w:line="560" w:lineRule="exact"/>
        <w:jc w:val="center"/>
        <w:rPr>
          <w:b/>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附件5-6</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施工方案或施工组织设计</w:t>
      </w:r>
    </w:p>
    <w:p>
      <w:pPr>
        <w:spacing w:line="560" w:lineRule="exact"/>
        <w:jc w:val="center"/>
        <w:rPr>
          <w:b/>
          <w:color w:val="000000" w:themeColor="text1"/>
          <w:sz w:val="24"/>
          <w:highlight w:val="none"/>
          <w14:textFill>
            <w14:solidFill>
              <w14:schemeClr w14:val="tx1"/>
            </w14:solidFill>
          </w14:textFill>
        </w:rPr>
      </w:pPr>
    </w:p>
    <w:p>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供应商应递交完整的施工方案或施工组织设计，说明各分部分项工程的施工方法和布置，提交包括临时设施和临时道路的施工总布置图及其他的图表、文字说明书等资料，至少应包括：</w:t>
      </w:r>
    </w:p>
    <w:p>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各分部分项工程的完整的施工方案，保证质量的措施；</w:t>
      </w:r>
    </w:p>
    <w:p>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施工机械的进场计划；</w:t>
      </w:r>
    </w:p>
    <w:p>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工程材料的进场计划；</w:t>
      </w:r>
    </w:p>
    <w:p>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施工现场平面布置图及施工道路平面图；</w:t>
      </w:r>
    </w:p>
    <w:p>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冬、雨季施工措施；</w:t>
      </w:r>
    </w:p>
    <w:p>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地下管线及其他地上地下设施的加固措施；</w:t>
      </w:r>
    </w:p>
    <w:p>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保证安全生产，文明施工，减少扰民，降低环境污染和噪音的措施。</w:t>
      </w: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附件5-7</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计划开、竣工日期和施工进度表</w:t>
      </w:r>
    </w:p>
    <w:p>
      <w:pPr>
        <w:spacing w:line="560" w:lineRule="exact"/>
        <w:jc w:val="center"/>
        <w:rPr>
          <w:b/>
          <w:color w:val="000000" w:themeColor="text1"/>
          <w:sz w:val="24"/>
          <w:highlight w:val="none"/>
          <w14:textFill>
            <w14:solidFill>
              <w14:schemeClr w14:val="tx1"/>
            </w14:solidFill>
          </w14:textFill>
        </w:rPr>
      </w:pPr>
    </w:p>
    <w:p>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供应商应提交初步的施工进度表，说明按竞争性磋商文件要求的工期进行施工的各个关键日期。磋商成功的供应商还要按合同条件有关条款的要求提交详细的施工进度计划。</w:t>
      </w:r>
    </w:p>
    <w:p>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初步施工进度表可采用横道图（或关键线路网络图）表示，说明计划开工日期和各分部分项工程各阶段的完工日期和分包合同签订的日期。</w:t>
      </w:r>
    </w:p>
    <w:p>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施工进度计划应与施工方案或施工组织设计相适应。</w:t>
      </w: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附件5-8</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临时设施布置及临时用地表</w:t>
      </w:r>
    </w:p>
    <w:p>
      <w:pPr>
        <w:spacing w:line="560" w:lineRule="exact"/>
        <w:jc w:val="center"/>
        <w:rPr>
          <w:b/>
          <w:color w:val="000000" w:themeColor="text1"/>
          <w:sz w:val="24"/>
          <w:highlight w:val="none"/>
          <w14:textFill>
            <w14:solidFill>
              <w14:schemeClr w14:val="tx1"/>
            </w14:solidFill>
          </w14:textFill>
        </w:rPr>
      </w:pPr>
    </w:p>
    <w:p>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临时设施布置</w:t>
      </w:r>
    </w:p>
    <w:p>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供应商应提交一份施工现场临时设施布置图表并附文字说明，说明临时设施、加工车间、现场办公、设备及仓储、供电、供水、生产、生活等设施的情况和 布置。</w:t>
      </w:r>
    </w:p>
    <w:p>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临时用地表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用途</w:t>
            </w:r>
          </w:p>
        </w:tc>
        <w:tc>
          <w:tcPr>
            <w:tcW w:w="2130" w:type="dxa"/>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面积（m</w:t>
            </w:r>
            <w:r>
              <w:rPr>
                <w:color w:val="000000" w:themeColor="text1"/>
                <w:sz w:val="24"/>
                <w:highlight w:val="none"/>
                <w:vertAlign w:val="superscript"/>
                <w14:textFill>
                  <w14:solidFill>
                    <w14:schemeClr w14:val="tx1"/>
                  </w14:solidFill>
                </w14:textFill>
              </w:rPr>
              <w:t>2</w:t>
            </w:r>
            <w:r>
              <w:rPr>
                <w:color w:val="000000" w:themeColor="text1"/>
                <w:sz w:val="24"/>
                <w:highlight w:val="none"/>
                <w14:textFill>
                  <w14:solidFill>
                    <w14:schemeClr w14:val="tx1"/>
                  </w14:solidFill>
                </w14:textFill>
              </w:rPr>
              <w:t>）</w:t>
            </w:r>
          </w:p>
        </w:tc>
        <w:tc>
          <w:tcPr>
            <w:tcW w:w="2130" w:type="dxa"/>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位置</w:t>
            </w:r>
          </w:p>
        </w:tc>
        <w:tc>
          <w:tcPr>
            <w:tcW w:w="2130" w:type="dxa"/>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trPr>
        <w:tc>
          <w:tcPr>
            <w:tcW w:w="2130" w:type="dxa"/>
          </w:tcPr>
          <w:p>
            <w:pPr>
              <w:spacing w:line="560" w:lineRule="exact"/>
              <w:jc w:val="center"/>
              <w:rPr>
                <w:color w:val="000000" w:themeColor="text1"/>
                <w:sz w:val="24"/>
                <w:highlight w:val="none"/>
                <w14:textFill>
                  <w14:solidFill>
                    <w14:schemeClr w14:val="tx1"/>
                  </w14:solidFill>
                </w14:textFill>
              </w:rPr>
            </w:pPr>
          </w:p>
        </w:tc>
        <w:tc>
          <w:tcPr>
            <w:tcW w:w="2130" w:type="dxa"/>
          </w:tcPr>
          <w:p>
            <w:pPr>
              <w:spacing w:line="560" w:lineRule="exact"/>
              <w:jc w:val="center"/>
              <w:rPr>
                <w:color w:val="000000" w:themeColor="text1"/>
                <w:sz w:val="24"/>
                <w:highlight w:val="none"/>
                <w14:textFill>
                  <w14:solidFill>
                    <w14:schemeClr w14:val="tx1"/>
                  </w14:solidFill>
                </w14:textFill>
              </w:rPr>
            </w:pPr>
          </w:p>
        </w:tc>
        <w:tc>
          <w:tcPr>
            <w:tcW w:w="2130" w:type="dxa"/>
          </w:tcPr>
          <w:p>
            <w:pPr>
              <w:spacing w:line="560" w:lineRule="exact"/>
              <w:jc w:val="center"/>
              <w:rPr>
                <w:color w:val="000000" w:themeColor="text1"/>
                <w:sz w:val="24"/>
                <w:highlight w:val="none"/>
                <w14:textFill>
                  <w14:solidFill>
                    <w14:schemeClr w14:val="tx1"/>
                  </w14:solidFill>
                </w14:textFill>
              </w:rPr>
            </w:pPr>
          </w:p>
        </w:tc>
        <w:tc>
          <w:tcPr>
            <w:tcW w:w="2130" w:type="dxa"/>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2130" w:type="dxa"/>
          </w:tcPr>
          <w:p>
            <w:pPr>
              <w:spacing w:line="560" w:lineRule="exact"/>
              <w:jc w:val="center"/>
              <w:rPr>
                <w:color w:val="000000" w:themeColor="text1"/>
                <w:sz w:val="24"/>
                <w:highlight w:val="none"/>
                <w14:textFill>
                  <w14:solidFill>
                    <w14:schemeClr w14:val="tx1"/>
                  </w14:solidFill>
                </w14:textFill>
              </w:rPr>
            </w:pPr>
          </w:p>
        </w:tc>
        <w:tc>
          <w:tcPr>
            <w:tcW w:w="2130" w:type="dxa"/>
          </w:tcPr>
          <w:p>
            <w:pPr>
              <w:spacing w:line="560" w:lineRule="exact"/>
              <w:jc w:val="center"/>
              <w:rPr>
                <w:color w:val="000000" w:themeColor="text1"/>
                <w:sz w:val="24"/>
                <w:highlight w:val="none"/>
                <w14:textFill>
                  <w14:solidFill>
                    <w14:schemeClr w14:val="tx1"/>
                  </w14:solidFill>
                </w14:textFill>
              </w:rPr>
            </w:pPr>
          </w:p>
        </w:tc>
        <w:tc>
          <w:tcPr>
            <w:tcW w:w="2130" w:type="dxa"/>
          </w:tcPr>
          <w:p>
            <w:pPr>
              <w:spacing w:line="560" w:lineRule="exact"/>
              <w:jc w:val="center"/>
              <w:rPr>
                <w:color w:val="000000" w:themeColor="text1"/>
                <w:sz w:val="24"/>
                <w:highlight w:val="none"/>
                <w14:textFill>
                  <w14:solidFill>
                    <w14:schemeClr w14:val="tx1"/>
                  </w14:solidFill>
                </w14:textFill>
              </w:rPr>
            </w:pPr>
          </w:p>
        </w:tc>
      </w:tr>
    </w:tbl>
    <w:p>
      <w:pPr>
        <w:spacing w:line="560" w:lineRule="exact"/>
        <w:ind w:left="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注：（1）供应商应逐项填写本表，指出全部临时设施用地面积以及详细用途。</w:t>
      </w:r>
    </w:p>
    <w:p>
      <w:pPr>
        <w:spacing w:line="560" w:lineRule="exact"/>
        <w:ind w:left="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（2）若本表不够，可加附页。</w:t>
      </w:r>
    </w:p>
    <w:p>
      <w:pPr>
        <w:spacing w:line="560" w:lineRule="exact"/>
        <w:ind w:left="480"/>
        <w:rPr>
          <w:color w:val="000000" w:themeColor="text1"/>
          <w:sz w:val="24"/>
          <w:highlight w:val="none"/>
          <w14:textFill>
            <w14:solidFill>
              <w14:schemeClr w14:val="tx1"/>
            </w14:solidFill>
          </w14:textFill>
        </w:rPr>
      </w:pPr>
    </w:p>
    <w:p>
      <w:pPr>
        <w:spacing w:line="560" w:lineRule="exact"/>
        <w:ind w:left="480"/>
        <w:rPr>
          <w:color w:val="000000" w:themeColor="text1"/>
          <w:sz w:val="24"/>
          <w:highlight w:val="none"/>
          <w14:textFill>
            <w14:solidFill>
              <w14:schemeClr w14:val="tx1"/>
            </w14:solidFill>
          </w14:textFill>
        </w:rPr>
      </w:pPr>
    </w:p>
    <w:p>
      <w:pPr>
        <w:spacing w:line="560" w:lineRule="exact"/>
        <w:ind w:left="480"/>
        <w:rPr>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附件5-9</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投标企业概况 </w:t>
      </w:r>
    </w:p>
    <w:p>
      <w:pPr>
        <w:spacing w:line="560" w:lineRule="exact"/>
        <w:jc w:val="center"/>
        <w:rPr>
          <w:b/>
          <w:color w:val="000000" w:themeColor="text1"/>
          <w:sz w:val="24"/>
          <w:highlight w:val="none"/>
          <w14:textFill>
            <w14:solidFill>
              <w14:schemeClr w14:val="tx1"/>
            </w14:solidFill>
          </w14:textFill>
        </w:rPr>
      </w:pPr>
    </w:p>
    <w:tbl>
      <w:tblPr>
        <w:tblStyle w:val="1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473"/>
        <w:gridCol w:w="360"/>
        <w:gridCol w:w="967"/>
        <w:gridCol w:w="833"/>
        <w:gridCol w:w="360"/>
        <w:gridCol w:w="607"/>
        <w:gridCol w:w="833"/>
        <w:gridCol w:w="67"/>
        <w:gridCol w:w="900"/>
        <w:gridCol w:w="113"/>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restart"/>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企业职工</w:t>
            </w:r>
          </w:p>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人数</w:t>
            </w:r>
          </w:p>
        </w:tc>
        <w:tc>
          <w:tcPr>
            <w:tcW w:w="900" w:type="dxa"/>
            <w:vMerge w:val="restart"/>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人</w:t>
            </w:r>
          </w:p>
        </w:tc>
        <w:tc>
          <w:tcPr>
            <w:tcW w:w="3600" w:type="dxa"/>
            <w:gridSpan w:val="6"/>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有职称管理人员</w:t>
            </w:r>
          </w:p>
        </w:tc>
        <w:tc>
          <w:tcPr>
            <w:tcW w:w="2700" w:type="dxa"/>
            <w:gridSpan w:val="5"/>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vAlign w:val="center"/>
          </w:tcPr>
          <w:p>
            <w:pPr>
              <w:spacing w:line="560" w:lineRule="exact"/>
              <w:jc w:val="center"/>
              <w:rPr>
                <w:color w:val="000000" w:themeColor="text1"/>
                <w:sz w:val="24"/>
                <w:highlight w:val="none"/>
                <w14:textFill>
                  <w14:solidFill>
                    <w14:schemeClr w14:val="tx1"/>
                  </w14:solidFill>
                </w14:textFill>
              </w:rPr>
            </w:pPr>
          </w:p>
        </w:tc>
        <w:tc>
          <w:tcPr>
            <w:tcW w:w="900" w:type="dxa"/>
            <w:vMerge w:val="continue"/>
            <w:vAlign w:val="center"/>
          </w:tcPr>
          <w:p>
            <w:pPr>
              <w:spacing w:line="560" w:lineRule="exact"/>
              <w:jc w:val="center"/>
              <w:rPr>
                <w:color w:val="000000" w:themeColor="text1"/>
                <w:sz w:val="24"/>
                <w:highlight w:val="none"/>
                <w14:textFill>
                  <w14:solidFill>
                    <w14:schemeClr w14:val="tx1"/>
                  </w14:solidFill>
                </w14:textFill>
              </w:rPr>
            </w:pPr>
          </w:p>
        </w:tc>
        <w:tc>
          <w:tcPr>
            <w:tcW w:w="833" w:type="dxa"/>
            <w:gridSpan w:val="2"/>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高工</w:t>
            </w:r>
          </w:p>
        </w:tc>
        <w:tc>
          <w:tcPr>
            <w:tcW w:w="967"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工程师</w:t>
            </w:r>
          </w:p>
        </w:tc>
        <w:tc>
          <w:tcPr>
            <w:tcW w:w="833"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助工</w:t>
            </w:r>
          </w:p>
        </w:tc>
        <w:tc>
          <w:tcPr>
            <w:tcW w:w="967" w:type="dxa"/>
            <w:gridSpan w:val="2"/>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技术员</w:t>
            </w:r>
          </w:p>
        </w:tc>
        <w:tc>
          <w:tcPr>
            <w:tcW w:w="900" w:type="dxa"/>
            <w:gridSpan w:val="2"/>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4-8级</w:t>
            </w:r>
          </w:p>
        </w:tc>
        <w:tc>
          <w:tcPr>
            <w:tcW w:w="900"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1-3级</w:t>
            </w:r>
          </w:p>
        </w:tc>
        <w:tc>
          <w:tcPr>
            <w:tcW w:w="900" w:type="dxa"/>
            <w:gridSpan w:val="2"/>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vAlign w:val="center"/>
          </w:tcPr>
          <w:p>
            <w:pPr>
              <w:spacing w:line="560" w:lineRule="exact"/>
              <w:jc w:val="center"/>
              <w:rPr>
                <w:color w:val="000000" w:themeColor="text1"/>
                <w:sz w:val="24"/>
                <w:highlight w:val="none"/>
                <w14:textFill>
                  <w14:solidFill>
                    <w14:schemeClr w14:val="tx1"/>
                  </w14:solidFill>
                </w14:textFill>
              </w:rPr>
            </w:pPr>
          </w:p>
        </w:tc>
        <w:tc>
          <w:tcPr>
            <w:tcW w:w="900" w:type="dxa"/>
            <w:vAlign w:val="center"/>
          </w:tcPr>
          <w:p>
            <w:pPr>
              <w:spacing w:line="560" w:lineRule="exact"/>
              <w:jc w:val="center"/>
              <w:rPr>
                <w:color w:val="000000" w:themeColor="text1"/>
                <w:sz w:val="24"/>
                <w:highlight w:val="none"/>
                <w14:textFill>
                  <w14:solidFill>
                    <w14:schemeClr w14:val="tx1"/>
                  </w14:solidFill>
                </w14:textFill>
              </w:rPr>
            </w:pPr>
          </w:p>
        </w:tc>
        <w:tc>
          <w:tcPr>
            <w:tcW w:w="833" w:type="dxa"/>
            <w:gridSpan w:val="2"/>
            <w:vAlign w:val="center"/>
          </w:tcPr>
          <w:p>
            <w:pPr>
              <w:spacing w:line="560" w:lineRule="exact"/>
              <w:jc w:val="center"/>
              <w:rPr>
                <w:color w:val="000000" w:themeColor="text1"/>
                <w:sz w:val="24"/>
                <w:highlight w:val="none"/>
                <w14:textFill>
                  <w14:solidFill>
                    <w14:schemeClr w14:val="tx1"/>
                  </w14:solidFill>
                </w14:textFill>
              </w:rPr>
            </w:pPr>
          </w:p>
        </w:tc>
        <w:tc>
          <w:tcPr>
            <w:tcW w:w="967" w:type="dxa"/>
            <w:vAlign w:val="center"/>
          </w:tcPr>
          <w:p>
            <w:pPr>
              <w:spacing w:line="560" w:lineRule="exact"/>
              <w:jc w:val="center"/>
              <w:rPr>
                <w:color w:val="000000" w:themeColor="text1"/>
                <w:sz w:val="24"/>
                <w:highlight w:val="none"/>
                <w14:textFill>
                  <w14:solidFill>
                    <w14:schemeClr w14:val="tx1"/>
                  </w14:solidFill>
                </w14:textFill>
              </w:rPr>
            </w:pPr>
          </w:p>
        </w:tc>
        <w:tc>
          <w:tcPr>
            <w:tcW w:w="833" w:type="dxa"/>
            <w:vAlign w:val="center"/>
          </w:tcPr>
          <w:p>
            <w:pPr>
              <w:spacing w:line="560" w:lineRule="exact"/>
              <w:jc w:val="center"/>
              <w:rPr>
                <w:color w:val="000000" w:themeColor="text1"/>
                <w:sz w:val="24"/>
                <w:highlight w:val="none"/>
                <w14:textFill>
                  <w14:solidFill>
                    <w14:schemeClr w14:val="tx1"/>
                  </w14:solidFill>
                </w14:textFill>
              </w:rPr>
            </w:pPr>
          </w:p>
        </w:tc>
        <w:tc>
          <w:tcPr>
            <w:tcW w:w="967" w:type="dxa"/>
            <w:gridSpan w:val="2"/>
            <w:vAlign w:val="center"/>
          </w:tcPr>
          <w:p>
            <w:pPr>
              <w:spacing w:line="560" w:lineRule="exact"/>
              <w:jc w:val="center"/>
              <w:rPr>
                <w:color w:val="000000" w:themeColor="text1"/>
                <w:sz w:val="24"/>
                <w:highlight w:val="none"/>
                <w14:textFill>
                  <w14:solidFill>
                    <w14:schemeClr w14:val="tx1"/>
                  </w14:solidFill>
                </w14:textFill>
              </w:rPr>
            </w:pPr>
          </w:p>
        </w:tc>
        <w:tc>
          <w:tcPr>
            <w:tcW w:w="900" w:type="dxa"/>
            <w:gridSpan w:val="2"/>
            <w:vAlign w:val="center"/>
          </w:tcPr>
          <w:p>
            <w:pPr>
              <w:spacing w:line="560" w:lineRule="exact"/>
              <w:jc w:val="center"/>
              <w:rPr>
                <w:color w:val="000000" w:themeColor="text1"/>
                <w:sz w:val="24"/>
                <w:highlight w:val="none"/>
                <w14:textFill>
                  <w14:solidFill>
                    <w14:schemeClr w14:val="tx1"/>
                  </w14:solidFill>
                </w14:textFill>
              </w:rPr>
            </w:pPr>
          </w:p>
        </w:tc>
        <w:tc>
          <w:tcPr>
            <w:tcW w:w="900" w:type="dxa"/>
            <w:vAlign w:val="center"/>
          </w:tcPr>
          <w:p>
            <w:pPr>
              <w:spacing w:line="560" w:lineRule="exact"/>
              <w:jc w:val="center"/>
              <w:rPr>
                <w:color w:val="000000" w:themeColor="text1"/>
                <w:sz w:val="24"/>
                <w:highlight w:val="none"/>
                <w14:textFill>
                  <w14:solidFill>
                    <w14:schemeClr w14:val="tx1"/>
                  </w14:solidFill>
                </w14:textFill>
              </w:rPr>
            </w:pPr>
          </w:p>
        </w:tc>
        <w:tc>
          <w:tcPr>
            <w:tcW w:w="900" w:type="dxa"/>
            <w:gridSpan w:val="2"/>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restart"/>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w:t>
            </w:r>
          </w:p>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w:t>
            </w:r>
          </w:p>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机械</w:t>
            </w:r>
          </w:p>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设备</w:t>
            </w:r>
          </w:p>
        </w:tc>
        <w:tc>
          <w:tcPr>
            <w:tcW w:w="1373" w:type="dxa"/>
            <w:gridSpan w:val="2"/>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名称</w:t>
            </w:r>
          </w:p>
        </w:tc>
        <w:tc>
          <w:tcPr>
            <w:tcW w:w="1327" w:type="dxa"/>
            <w:gridSpan w:val="2"/>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型号</w:t>
            </w:r>
          </w:p>
        </w:tc>
        <w:tc>
          <w:tcPr>
            <w:tcW w:w="1193" w:type="dxa"/>
            <w:gridSpan w:val="2"/>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数量（台）</w:t>
            </w:r>
          </w:p>
        </w:tc>
        <w:tc>
          <w:tcPr>
            <w:tcW w:w="1440" w:type="dxa"/>
            <w:gridSpan w:val="2"/>
            <w:vAlign w:val="center"/>
          </w:tcPr>
          <w:p>
            <w:pPr>
              <w:spacing w:before="240"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总共率（hw/hp）</w:t>
            </w:r>
          </w:p>
        </w:tc>
        <w:tc>
          <w:tcPr>
            <w:tcW w:w="1080" w:type="dxa"/>
            <w:gridSpan w:val="3"/>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制造国或产地</w:t>
            </w:r>
          </w:p>
        </w:tc>
        <w:tc>
          <w:tcPr>
            <w:tcW w:w="787" w:type="dxa"/>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制造年份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pPr>
              <w:spacing w:line="560" w:lineRule="exact"/>
              <w:jc w:val="center"/>
              <w:rPr>
                <w:color w:val="000000" w:themeColor="text1"/>
                <w:sz w:val="24"/>
                <w:highlight w:val="none"/>
                <w14:textFill>
                  <w14:solidFill>
                    <w14:schemeClr w14:val="tx1"/>
                  </w14:solidFill>
                </w14:textFill>
              </w:rPr>
            </w:pPr>
          </w:p>
        </w:tc>
        <w:tc>
          <w:tcPr>
            <w:tcW w:w="1373" w:type="dxa"/>
            <w:gridSpan w:val="2"/>
          </w:tcPr>
          <w:p>
            <w:pPr>
              <w:spacing w:line="560" w:lineRule="exact"/>
              <w:jc w:val="center"/>
              <w:rPr>
                <w:color w:val="000000" w:themeColor="text1"/>
                <w:sz w:val="24"/>
                <w:highlight w:val="none"/>
                <w14:textFill>
                  <w14:solidFill>
                    <w14:schemeClr w14:val="tx1"/>
                  </w14:solidFill>
                </w14:textFill>
              </w:rPr>
            </w:pPr>
          </w:p>
        </w:tc>
        <w:tc>
          <w:tcPr>
            <w:tcW w:w="1327" w:type="dxa"/>
            <w:gridSpan w:val="2"/>
          </w:tcPr>
          <w:p>
            <w:pPr>
              <w:spacing w:line="560" w:lineRule="exact"/>
              <w:jc w:val="center"/>
              <w:rPr>
                <w:color w:val="000000" w:themeColor="text1"/>
                <w:sz w:val="24"/>
                <w:highlight w:val="none"/>
                <w14:textFill>
                  <w14:solidFill>
                    <w14:schemeClr w14:val="tx1"/>
                  </w14:solidFill>
                </w14:textFill>
              </w:rPr>
            </w:pPr>
          </w:p>
        </w:tc>
        <w:tc>
          <w:tcPr>
            <w:tcW w:w="1193" w:type="dxa"/>
            <w:gridSpan w:val="2"/>
          </w:tcPr>
          <w:p>
            <w:pPr>
              <w:spacing w:line="560" w:lineRule="exact"/>
              <w:jc w:val="center"/>
              <w:rPr>
                <w:color w:val="000000" w:themeColor="text1"/>
                <w:sz w:val="24"/>
                <w:highlight w:val="none"/>
                <w14:textFill>
                  <w14:solidFill>
                    <w14:schemeClr w14:val="tx1"/>
                  </w14:solidFill>
                </w14:textFill>
              </w:rPr>
            </w:pPr>
          </w:p>
        </w:tc>
        <w:tc>
          <w:tcPr>
            <w:tcW w:w="1440" w:type="dxa"/>
            <w:gridSpan w:val="2"/>
          </w:tcPr>
          <w:p>
            <w:pPr>
              <w:spacing w:line="560" w:lineRule="exact"/>
              <w:jc w:val="center"/>
              <w:rPr>
                <w:color w:val="000000" w:themeColor="text1"/>
                <w:sz w:val="24"/>
                <w:highlight w:val="none"/>
                <w14:textFill>
                  <w14:solidFill>
                    <w14:schemeClr w14:val="tx1"/>
                  </w14:solidFill>
                </w14:textFill>
              </w:rPr>
            </w:pPr>
          </w:p>
        </w:tc>
        <w:tc>
          <w:tcPr>
            <w:tcW w:w="1080" w:type="dxa"/>
            <w:gridSpan w:val="3"/>
          </w:tcPr>
          <w:p>
            <w:pPr>
              <w:spacing w:line="560" w:lineRule="exact"/>
              <w:jc w:val="center"/>
              <w:rPr>
                <w:color w:val="000000" w:themeColor="text1"/>
                <w:sz w:val="24"/>
                <w:highlight w:val="none"/>
                <w14:textFill>
                  <w14:solidFill>
                    <w14:schemeClr w14:val="tx1"/>
                  </w14:solidFill>
                </w14:textFill>
              </w:rPr>
            </w:pPr>
          </w:p>
        </w:tc>
        <w:tc>
          <w:tcPr>
            <w:tcW w:w="787" w:type="dxa"/>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pPr>
              <w:spacing w:line="560" w:lineRule="exact"/>
              <w:jc w:val="center"/>
              <w:rPr>
                <w:color w:val="000000" w:themeColor="text1"/>
                <w:sz w:val="24"/>
                <w:highlight w:val="none"/>
                <w14:textFill>
                  <w14:solidFill>
                    <w14:schemeClr w14:val="tx1"/>
                  </w14:solidFill>
                </w14:textFill>
              </w:rPr>
            </w:pPr>
          </w:p>
        </w:tc>
        <w:tc>
          <w:tcPr>
            <w:tcW w:w="1373" w:type="dxa"/>
            <w:gridSpan w:val="2"/>
          </w:tcPr>
          <w:p>
            <w:pPr>
              <w:spacing w:line="560" w:lineRule="exact"/>
              <w:jc w:val="center"/>
              <w:rPr>
                <w:color w:val="000000" w:themeColor="text1"/>
                <w:sz w:val="24"/>
                <w:highlight w:val="none"/>
                <w14:textFill>
                  <w14:solidFill>
                    <w14:schemeClr w14:val="tx1"/>
                  </w14:solidFill>
                </w14:textFill>
              </w:rPr>
            </w:pPr>
          </w:p>
        </w:tc>
        <w:tc>
          <w:tcPr>
            <w:tcW w:w="1327" w:type="dxa"/>
            <w:gridSpan w:val="2"/>
          </w:tcPr>
          <w:p>
            <w:pPr>
              <w:spacing w:line="560" w:lineRule="exact"/>
              <w:jc w:val="center"/>
              <w:rPr>
                <w:color w:val="000000" w:themeColor="text1"/>
                <w:sz w:val="24"/>
                <w:highlight w:val="none"/>
                <w14:textFill>
                  <w14:solidFill>
                    <w14:schemeClr w14:val="tx1"/>
                  </w14:solidFill>
                </w14:textFill>
              </w:rPr>
            </w:pPr>
          </w:p>
        </w:tc>
        <w:tc>
          <w:tcPr>
            <w:tcW w:w="1193" w:type="dxa"/>
            <w:gridSpan w:val="2"/>
          </w:tcPr>
          <w:p>
            <w:pPr>
              <w:spacing w:line="560" w:lineRule="exact"/>
              <w:jc w:val="center"/>
              <w:rPr>
                <w:color w:val="000000" w:themeColor="text1"/>
                <w:sz w:val="24"/>
                <w:highlight w:val="none"/>
                <w14:textFill>
                  <w14:solidFill>
                    <w14:schemeClr w14:val="tx1"/>
                  </w14:solidFill>
                </w14:textFill>
              </w:rPr>
            </w:pPr>
          </w:p>
        </w:tc>
        <w:tc>
          <w:tcPr>
            <w:tcW w:w="1440" w:type="dxa"/>
            <w:gridSpan w:val="2"/>
          </w:tcPr>
          <w:p>
            <w:pPr>
              <w:spacing w:line="560" w:lineRule="exact"/>
              <w:jc w:val="center"/>
              <w:rPr>
                <w:color w:val="000000" w:themeColor="text1"/>
                <w:sz w:val="24"/>
                <w:highlight w:val="none"/>
                <w14:textFill>
                  <w14:solidFill>
                    <w14:schemeClr w14:val="tx1"/>
                  </w14:solidFill>
                </w14:textFill>
              </w:rPr>
            </w:pPr>
          </w:p>
        </w:tc>
        <w:tc>
          <w:tcPr>
            <w:tcW w:w="1080" w:type="dxa"/>
            <w:gridSpan w:val="3"/>
          </w:tcPr>
          <w:p>
            <w:pPr>
              <w:spacing w:line="560" w:lineRule="exact"/>
              <w:jc w:val="center"/>
              <w:rPr>
                <w:color w:val="000000" w:themeColor="text1"/>
                <w:sz w:val="24"/>
                <w:highlight w:val="none"/>
                <w14:textFill>
                  <w14:solidFill>
                    <w14:schemeClr w14:val="tx1"/>
                  </w14:solidFill>
                </w14:textFill>
              </w:rPr>
            </w:pPr>
          </w:p>
        </w:tc>
        <w:tc>
          <w:tcPr>
            <w:tcW w:w="787" w:type="dxa"/>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pPr>
              <w:spacing w:line="560" w:lineRule="exact"/>
              <w:jc w:val="center"/>
              <w:rPr>
                <w:color w:val="000000" w:themeColor="text1"/>
                <w:sz w:val="24"/>
                <w:highlight w:val="none"/>
                <w14:textFill>
                  <w14:solidFill>
                    <w14:schemeClr w14:val="tx1"/>
                  </w14:solidFill>
                </w14:textFill>
              </w:rPr>
            </w:pPr>
          </w:p>
        </w:tc>
        <w:tc>
          <w:tcPr>
            <w:tcW w:w="1373" w:type="dxa"/>
            <w:gridSpan w:val="2"/>
          </w:tcPr>
          <w:p>
            <w:pPr>
              <w:spacing w:line="560" w:lineRule="exact"/>
              <w:jc w:val="center"/>
              <w:rPr>
                <w:color w:val="000000" w:themeColor="text1"/>
                <w:sz w:val="24"/>
                <w:highlight w:val="none"/>
                <w14:textFill>
                  <w14:solidFill>
                    <w14:schemeClr w14:val="tx1"/>
                  </w14:solidFill>
                </w14:textFill>
              </w:rPr>
            </w:pPr>
          </w:p>
        </w:tc>
        <w:tc>
          <w:tcPr>
            <w:tcW w:w="1327" w:type="dxa"/>
            <w:gridSpan w:val="2"/>
          </w:tcPr>
          <w:p>
            <w:pPr>
              <w:spacing w:line="560" w:lineRule="exact"/>
              <w:jc w:val="center"/>
              <w:rPr>
                <w:color w:val="000000" w:themeColor="text1"/>
                <w:sz w:val="24"/>
                <w:highlight w:val="none"/>
                <w14:textFill>
                  <w14:solidFill>
                    <w14:schemeClr w14:val="tx1"/>
                  </w14:solidFill>
                </w14:textFill>
              </w:rPr>
            </w:pPr>
          </w:p>
        </w:tc>
        <w:tc>
          <w:tcPr>
            <w:tcW w:w="1193" w:type="dxa"/>
            <w:gridSpan w:val="2"/>
          </w:tcPr>
          <w:p>
            <w:pPr>
              <w:spacing w:line="560" w:lineRule="exact"/>
              <w:jc w:val="center"/>
              <w:rPr>
                <w:color w:val="000000" w:themeColor="text1"/>
                <w:sz w:val="24"/>
                <w:highlight w:val="none"/>
                <w14:textFill>
                  <w14:solidFill>
                    <w14:schemeClr w14:val="tx1"/>
                  </w14:solidFill>
                </w14:textFill>
              </w:rPr>
            </w:pPr>
          </w:p>
        </w:tc>
        <w:tc>
          <w:tcPr>
            <w:tcW w:w="1440" w:type="dxa"/>
            <w:gridSpan w:val="2"/>
          </w:tcPr>
          <w:p>
            <w:pPr>
              <w:spacing w:line="560" w:lineRule="exact"/>
              <w:jc w:val="center"/>
              <w:rPr>
                <w:color w:val="000000" w:themeColor="text1"/>
                <w:sz w:val="24"/>
                <w:highlight w:val="none"/>
                <w14:textFill>
                  <w14:solidFill>
                    <w14:schemeClr w14:val="tx1"/>
                  </w14:solidFill>
                </w14:textFill>
              </w:rPr>
            </w:pPr>
          </w:p>
        </w:tc>
        <w:tc>
          <w:tcPr>
            <w:tcW w:w="1080" w:type="dxa"/>
            <w:gridSpan w:val="3"/>
          </w:tcPr>
          <w:p>
            <w:pPr>
              <w:spacing w:line="560" w:lineRule="exact"/>
              <w:jc w:val="center"/>
              <w:rPr>
                <w:color w:val="000000" w:themeColor="text1"/>
                <w:sz w:val="24"/>
                <w:highlight w:val="none"/>
                <w14:textFill>
                  <w14:solidFill>
                    <w14:schemeClr w14:val="tx1"/>
                  </w14:solidFill>
                </w14:textFill>
              </w:rPr>
            </w:pPr>
          </w:p>
        </w:tc>
        <w:tc>
          <w:tcPr>
            <w:tcW w:w="787" w:type="dxa"/>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pPr>
              <w:spacing w:line="560" w:lineRule="exact"/>
              <w:jc w:val="center"/>
              <w:rPr>
                <w:color w:val="000000" w:themeColor="text1"/>
                <w:sz w:val="24"/>
                <w:highlight w:val="none"/>
                <w14:textFill>
                  <w14:solidFill>
                    <w14:schemeClr w14:val="tx1"/>
                  </w14:solidFill>
                </w14:textFill>
              </w:rPr>
            </w:pPr>
          </w:p>
        </w:tc>
        <w:tc>
          <w:tcPr>
            <w:tcW w:w="1373" w:type="dxa"/>
            <w:gridSpan w:val="2"/>
          </w:tcPr>
          <w:p>
            <w:pPr>
              <w:spacing w:line="560" w:lineRule="exact"/>
              <w:jc w:val="center"/>
              <w:rPr>
                <w:color w:val="000000" w:themeColor="text1"/>
                <w:sz w:val="24"/>
                <w:highlight w:val="none"/>
                <w14:textFill>
                  <w14:solidFill>
                    <w14:schemeClr w14:val="tx1"/>
                  </w14:solidFill>
                </w14:textFill>
              </w:rPr>
            </w:pPr>
          </w:p>
        </w:tc>
        <w:tc>
          <w:tcPr>
            <w:tcW w:w="1327" w:type="dxa"/>
            <w:gridSpan w:val="2"/>
          </w:tcPr>
          <w:p>
            <w:pPr>
              <w:spacing w:line="560" w:lineRule="exact"/>
              <w:jc w:val="center"/>
              <w:rPr>
                <w:color w:val="000000" w:themeColor="text1"/>
                <w:sz w:val="24"/>
                <w:highlight w:val="none"/>
                <w14:textFill>
                  <w14:solidFill>
                    <w14:schemeClr w14:val="tx1"/>
                  </w14:solidFill>
                </w14:textFill>
              </w:rPr>
            </w:pPr>
          </w:p>
        </w:tc>
        <w:tc>
          <w:tcPr>
            <w:tcW w:w="1193" w:type="dxa"/>
            <w:gridSpan w:val="2"/>
          </w:tcPr>
          <w:p>
            <w:pPr>
              <w:spacing w:line="560" w:lineRule="exact"/>
              <w:jc w:val="center"/>
              <w:rPr>
                <w:color w:val="000000" w:themeColor="text1"/>
                <w:sz w:val="24"/>
                <w:highlight w:val="none"/>
                <w14:textFill>
                  <w14:solidFill>
                    <w14:schemeClr w14:val="tx1"/>
                  </w14:solidFill>
                </w14:textFill>
              </w:rPr>
            </w:pPr>
          </w:p>
        </w:tc>
        <w:tc>
          <w:tcPr>
            <w:tcW w:w="1440" w:type="dxa"/>
            <w:gridSpan w:val="2"/>
          </w:tcPr>
          <w:p>
            <w:pPr>
              <w:spacing w:line="560" w:lineRule="exact"/>
              <w:jc w:val="center"/>
              <w:rPr>
                <w:color w:val="000000" w:themeColor="text1"/>
                <w:sz w:val="24"/>
                <w:highlight w:val="none"/>
                <w14:textFill>
                  <w14:solidFill>
                    <w14:schemeClr w14:val="tx1"/>
                  </w14:solidFill>
                </w14:textFill>
              </w:rPr>
            </w:pPr>
          </w:p>
        </w:tc>
        <w:tc>
          <w:tcPr>
            <w:tcW w:w="1080" w:type="dxa"/>
            <w:gridSpan w:val="3"/>
          </w:tcPr>
          <w:p>
            <w:pPr>
              <w:spacing w:line="560" w:lineRule="exact"/>
              <w:jc w:val="center"/>
              <w:rPr>
                <w:color w:val="000000" w:themeColor="text1"/>
                <w:sz w:val="24"/>
                <w:highlight w:val="none"/>
                <w14:textFill>
                  <w14:solidFill>
                    <w14:schemeClr w14:val="tx1"/>
                  </w14:solidFill>
                </w14:textFill>
              </w:rPr>
            </w:pPr>
          </w:p>
        </w:tc>
        <w:tc>
          <w:tcPr>
            <w:tcW w:w="787" w:type="dxa"/>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pPr>
              <w:spacing w:line="560" w:lineRule="exact"/>
              <w:jc w:val="center"/>
              <w:rPr>
                <w:color w:val="000000" w:themeColor="text1"/>
                <w:sz w:val="24"/>
                <w:highlight w:val="none"/>
                <w14:textFill>
                  <w14:solidFill>
                    <w14:schemeClr w14:val="tx1"/>
                  </w14:solidFill>
                </w14:textFill>
              </w:rPr>
            </w:pPr>
          </w:p>
        </w:tc>
        <w:tc>
          <w:tcPr>
            <w:tcW w:w="1373" w:type="dxa"/>
            <w:gridSpan w:val="2"/>
          </w:tcPr>
          <w:p>
            <w:pPr>
              <w:spacing w:line="560" w:lineRule="exact"/>
              <w:jc w:val="center"/>
              <w:rPr>
                <w:color w:val="000000" w:themeColor="text1"/>
                <w:sz w:val="24"/>
                <w:highlight w:val="none"/>
                <w14:textFill>
                  <w14:solidFill>
                    <w14:schemeClr w14:val="tx1"/>
                  </w14:solidFill>
                </w14:textFill>
              </w:rPr>
            </w:pPr>
          </w:p>
        </w:tc>
        <w:tc>
          <w:tcPr>
            <w:tcW w:w="1327" w:type="dxa"/>
            <w:gridSpan w:val="2"/>
          </w:tcPr>
          <w:p>
            <w:pPr>
              <w:spacing w:line="560" w:lineRule="exact"/>
              <w:jc w:val="center"/>
              <w:rPr>
                <w:color w:val="000000" w:themeColor="text1"/>
                <w:sz w:val="24"/>
                <w:highlight w:val="none"/>
                <w14:textFill>
                  <w14:solidFill>
                    <w14:schemeClr w14:val="tx1"/>
                  </w14:solidFill>
                </w14:textFill>
              </w:rPr>
            </w:pPr>
          </w:p>
        </w:tc>
        <w:tc>
          <w:tcPr>
            <w:tcW w:w="1193" w:type="dxa"/>
            <w:gridSpan w:val="2"/>
          </w:tcPr>
          <w:p>
            <w:pPr>
              <w:spacing w:line="560" w:lineRule="exact"/>
              <w:jc w:val="center"/>
              <w:rPr>
                <w:color w:val="000000" w:themeColor="text1"/>
                <w:sz w:val="24"/>
                <w:highlight w:val="none"/>
                <w14:textFill>
                  <w14:solidFill>
                    <w14:schemeClr w14:val="tx1"/>
                  </w14:solidFill>
                </w14:textFill>
              </w:rPr>
            </w:pPr>
          </w:p>
        </w:tc>
        <w:tc>
          <w:tcPr>
            <w:tcW w:w="1440" w:type="dxa"/>
            <w:gridSpan w:val="2"/>
          </w:tcPr>
          <w:p>
            <w:pPr>
              <w:spacing w:line="560" w:lineRule="exact"/>
              <w:jc w:val="center"/>
              <w:rPr>
                <w:color w:val="000000" w:themeColor="text1"/>
                <w:sz w:val="24"/>
                <w:highlight w:val="none"/>
                <w14:textFill>
                  <w14:solidFill>
                    <w14:schemeClr w14:val="tx1"/>
                  </w14:solidFill>
                </w14:textFill>
              </w:rPr>
            </w:pPr>
          </w:p>
        </w:tc>
        <w:tc>
          <w:tcPr>
            <w:tcW w:w="1080" w:type="dxa"/>
            <w:gridSpan w:val="3"/>
          </w:tcPr>
          <w:p>
            <w:pPr>
              <w:spacing w:line="560" w:lineRule="exact"/>
              <w:jc w:val="center"/>
              <w:rPr>
                <w:color w:val="000000" w:themeColor="text1"/>
                <w:sz w:val="24"/>
                <w:highlight w:val="none"/>
                <w14:textFill>
                  <w14:solidFill>
                    <w14:schemeClr w14:val="tx1"/>
                  </w14:solidFill>
                </w14:textFill>
              </w:rPr>
            </w:pPr>
          </w:p>
        </w:tc>
        <w:tc>
          <w:tcPr>
            <w:tcW w:w="787" w:type="dxa"/>
          </w:tcPr>
          <w:p>
            <w:pPr>
              <w:spacing w:line="560" w:lineRule="exact"/>
              <w:jc w:val="center"/>
              <w:rPr>
                <w:color w:val="000000" w:themeColor="text1"/>
                <w:sz w:val="24"/>
                <w:highlight w:val="none"/>
                <w14:textFill>
                  <w14:solidFill>
                    <w14:schemeClr w14:val="tx1"/>
                  </w14:solidFill>
                </w14:textFill>
              </w:rPr>
            </w:pPr>
          </w:p>
        </w:tc>
      </w:tr>
    </w:tbl>
    <w:p>
      <w:pPr>
        <w:spacing w:line="560" w:lineRule="exact"/>
        <w:jc w:val="center"/>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投标人名称： </w:t>
      </w: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       年      月      日</w:t>
      </w:r>
    </w:p>
    <w:p>
      <w:pPr>
        <w:spacing w:line="560" w:lineRule="exact"/>
        <w:jc w:val="center"/>
        <w:rPr>
          <w:b/>
          <w:color w:val="000000" w:themeColor="text1"/>
          <w:sz w:val="24"/>
          <w:highlight w:val="non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360" w:lineRule="auto"/>
        <w:jc w:val="left"/>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附件6</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投标人业绩</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p>
    <w:tbl>
      <w:tblPr>
        <w:tblStyle w:val="16"/>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127"/>
        <w:gridCol w:w="699"/>
        <w:gridCol w:w="1121"/>
        <w:gridCol w:w="1316"/>
        <w:gridCol w:w="1024"/>
        <w:gridCol w:w="932"/>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用户联系人及联系方式</w:t>
            </w: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用户盖章的成功履行合同的相关证明材料</w:t>
            </w:r>
            <w:r>
              <w:rPr>
                <w:bCs/>
                <w:color w:val="000000" w:themeColor="text1"/>
                <w:sz w:val="24"/>
                <w:highlight w:val="none"/>
                <w14:textFill>
                  <w14:solidFill>
                    <w14:schemeClr w14:val="tx1"/>
                  </w14:solidFill>
                </w14:textFill>
              </w:rPr>
              <w:t>扫描件所在页码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bl>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备注：若第二部分要求提供投标人业绩的，投标人所列业绩应按其要求将证明材料按顺序附后。</w:t>
      </w:r>
    </w:p>
    <w:p>
      <w:pPr>
        <w:spacing w:line="560" w:lineRule="exact"/>
        <w:rPr>
          <w:b/>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4080" w:firstLineChars="1700"/>
        <w:rPr>
          <w:color w:val="000000" w:themeColor="text1"/>
          <w:sz w:val="24"/>
          <w:highlight w:val="none"/>
          <w14:textFill>
            <w14:solidFill>
              <w14:schemeClr w14:val="tx1"/>
            </w14:solidFill>
          </w14:textFill>
        </w:rPr>
      </w:pP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widowControl/>
        <w:jc w:val="lef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jc w:val="left"/>
        <w:rPr>
          <w:color w:val="000000" w:themeColor="text1"/>
          <w:sz w:val="24"/>
          <w:highlight w:val="none"/>
          <w14:textFill>
            <w14:solidFill>
              <w14:schemeClr w14:val="tx1"/>
            </w14:solidFill>
          </w14:textFill>
        </w:rPr>
      </w:pPr>
    </w:p>
    <w:p>
      <w:pPr>
        <w:jc w:val="left"/>
        <w:rPr>
          <w:rFonts w:hint="eastAsia" w:eastAsia="宋体"/>
          <w:b/>
          <w:bCs/>
          <w:color w:val="000000" w:themeColor="text1"/>
          <w:sz w:val="24"/>
          <w:highlight w:val="none"/>
          <w:lang w:eastAsia="zh-CN"/>
          <w14:textFill>
            <w14:solidFill>
              <w14:schemeClr w14:val="tx1"/>
            </w14:solidFill>
          </w14:textFill>
        </w:rPr>
      </w:pPr>
      <w:r>
        <w:rPr>
          <w:b/>
          <w:color w:val="000000" w:themeColor="text1"/>
          <w:sz w:val="24"/>
          <w:szCs w:val="24"/>
          <w:highlight w:val="none"/>
          <w14:textFill>
            <w14:solidFill>
              <w14:schemeClr w14:val="tx1"/>
            </w14:solidFill>
          </w14:textFill>
        </w:rPr>
        <w:t>附件</w:t>
      </w:r>
      <w:r>
        <w:rPr>
          <w:rFonts w:hint="eastAsia"/>
          <w:b/>
          <w:color w:val="000000" w:themeColor="text1"/>
          <w:sz w:val="24"/>
          <w:szCs w:val="24"/>
          <w:highlight w:val="none"/>
          <w:lang w:val="en-US" w:eastAsia="zh-CN"/>
          <w14:textFill>
            <w14:solidFill>
              <w14:schemeClr w14:val="tx1"/>
            </w14:solidFill>
          </w14:textFill>
        </w:rPr>
        <w:t>7</w:t>
      </w:r>
    </w:p>
    <w:p>
      <w:pPr>
        <w:tabs>
          <w:tab w:val="left" w:pos="360"/>
        </w:tabs>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书面声明</w:t>
      </w:r>
    </w:p>
    <w:p>
      <w:pPr>
        <w:pStyle w:val="35"/>
        <w:tabs>
          <w:tab w:val="left" w:pos="360"/>
        </w:tabs>
        <w:spacing w:line="360" w:lineRule="auto"/>
        <w:ind w:firstLine="480"/>
        <w:rPr>
          <w:color w:val="000000" w:themeColor="text1"/>
          <w:sz w:val="24"/>
          <w:highlight w:val="none"/>
          <w14:textFill>
            <w14:solidFill>
              <w14:schemeClr w14:val="tx1"/>
            </w14:solidFill>
          </w14:textFill>
        </w:rPr>
      </w:pPr>
    </w:p>
    <w:p>
      <w:pPr>
        <w:pStyle w:val="35"/>
        <w:tabs>
          <w:tab w:val="left" w:pos="360"/>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参加政府采购活动前3年我单位在经营活动中没有重大违法记录。</w:t>
      </w:r>
    </w:p>
    <w:p>
      <w:pPr>
        <w:pStyle w:val="35"/>
        <w:tabs>
          <w:tab w:val="left" w:pos="360"/>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lang w:eastAsia="zh-CN"/>
          <w14:textFill>
            <w14:solidFill>
              <w14:schemeClr w14:val="tx1"/>
            </w14:solidFill>
          </w14:textFill>
        </w:rPr>
        <w:t>我单位具备良好的商业信誉和健全的财务会计制度，依法缴纳税收和社会保障资金。</w:t>
      </w:r>
    </w:p>
    <w:p>
      <w:pPr>
        <w:pStyle w:val="35"/>
        <w:tabs>
          <w:tab w:val="left" w:pos="360"/>
        </w:tabs>
        <w:spacing w:line="360" w:lineRule="auto"/>
        <w:ind w:firstLine="480"/>
        <w:rPr>
          <w:color w:val="000000" w:themeColor="text1"/>
          <w:sz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pStyle w:val="35"/>
        <w:tabs>
          <w:tab w:val="left" w:pos="360"/>
        </w:tabs>
        <w:spacing w:line="360" w:lineRule="auto"/>
        <w:ind w:firstLine="0" w:firstLineChars="0"/>
        <w:rPr>
          <w:color w:val="000000" w:themeColor="text1"/>
          <w:sz w:val="24"/>
          <w:highlight w:val="none"/>
          <w:u w:val="single"/>
          <w14:textFill>
            <w14:solidFill>
              <w14:schemeClr w14:val="tx1"/>
            </w14:solidFill>
          </w14:textFill>
        </w:rPr>
      </w:pPr>
      <w:r>
        <w:rPr>
          <w:color w:val="000000" w:themeColor="text1"/>
          <w:sz w:val="24"/>
          <w:highlight w:val="none"/>
          <w:u w:val="single"/>
          <w14:textFill>
            <w14:solidFill>
              <w14:schemeClr w14:val="tx1"/>
            </w14:solidFill>
          </w14:textFill>
        </w:rPr>
        <w:t xml:space="preserve">                                                                     </w:t>
      </w:r>
    </w:p>
    <w:p>
      <w:pPr>
        <w:pStyle w:val="35"/>
        <w:tabs>
          <w:tab w:val="left" w:pos="360"/>
        </w:tabs>
        <w:spacing w:line="360" w:lineRule="auto"/>
        <w:ind w:firstLine="480"/>
        <w:rPr>
          <w:color w:val="000000" w:themeColor="text1"/>
          <w:sz w:val="24"/>
          <w:highlight w:val="none"/>
          <w14:textFill>
            <w14:solidFill>
              <w14:schemeClr w14:val="tx1"/>
            </w14:solidFill>
          </w14:textFill>
        </w:rPr>
      </w:pPr>
    </w:p>
    <w:p>
      <w:pPr>
        <w:pStyle w:val="35"/>
        <w:spacing w:line="360" w:lineRule="auto"/>
        <w:ind w:firstLine="0" w:firstLineChars="0"/>
        <w:jc w:val="center"/>
        <w:rPr>
          <w:b/>
          <w:color w:val="000000" w:themeColor="text1"/>
          <w:sz w:val="24"/>
          <w:highlight w:val="none"/>
          <w14:textFill>
            <w14:solidFill>
              <w14:schemeClr w14:val="tx1"/>
            </w14:solidFill>
          </w14:textFill>
        </w:rPr>
      </w:pPr>
    </w:p>
    <w:p>
      <w:pPr>
        <w:pStyle w:val="35"/>
        <w:spacing w:line="360" w:lineRule="auto"/>
        <w:ind w:firstLine="0" w:firstLineChars="0"/>
        <w:jc w:val="center"/>
        <w:rPr>
          <w:b/>
          <w:color w:val="000000" w:themeColor="text1"/>
          <w:sz w:val="24"/>
          <w:highlight w:val="none"/>
          <w14:textFill>
            <w14:solidFill>
              <w14:schemeClr w14:val="tx1"/>
            </w14:solidFill>
          </w14:textFill>
        </w:rPr>
      </w:pPr>
    </w:p>
    <w:p>
      <w:pPr>
        <w:pStyle w:val="35"/>
        <w:spacing w:line="360" w:lineRule="auto"/>
        <w:ind w:firstLine="0" w:firstLineChars="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证明材料</w:t>
      </w:r>
    </w:p>
    <w:p>
      <w:pPr>
        <w:pStyle w:val="35"/>
        <w:tabs>
          <w:tab w:val="left" w:pos="360"/>
        </w:tabs>
        <w:spacing w:line="360" w:lineRule="auto"/>
        <w:ind w:firstLine="480"/>
        <w:rPr>
          <w:color w:val="000000" w:themeColor="text1"/>
          <w:sz w:val="24"/>
          <w:highlight w:val="none"/>
          <w14:textFill>
            <w14:solidFill>
              <w14:schemeClr w14:val="tx1"/>
            </w14:solidFill>
          </w14:textFill>
        </w:rPr>
      </w:pPr>
    </w:p>
    <w:p>
      <w:pPr>
        <w:pStyle w:val="35"/>
        <w:tabs>
          <w:tab w:val="left" w:pos="360"/>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我单位具备履行本项目合同所必需的设备和专业技术能力。</w:t>
      </w:r>
    </w:p>
    <w:p>
      <w:pPr>
        <w:pStyle w:val="35"/>
        <w:tabs>
          <w:tab w:val="left" w:pos="360"/>
        </w:tabs>
        <w:spacing w:line="360" w:lineRule="auto"/>
        <w:ind w:firstLine="480"/>
        <w:rPr>
          <w:color w:val="000000" w:themeColor="text1"/>
          <w:sz w:val="24"/>
          <w:highlight w:val="none"/>
          <w14:textFill>
            <w14:solidFill>
              <w14:schemeClr w14:val="tx1"/>
            </w14:solidFill>
          </w14:textFill>
        </w:rPr>
      </w:pPr>
    </w:p>
    <w:p>
      <w:pPr>
        <w:pStyle w:val="35"/>
        <w:tabs>
          <w:tab w:val="left" w:pos="360"/>
        </w:tabs>
        <w:spacing w:line="360" w:lineRule="auto"/>
        <w:ind w:firstLine="480"/>
        <w:rPr>
          <w:color w:val="000000" w:themeColor="text1"/>
          <w:sz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lang w:val="en-US" w:eastAsia="zh-CN"/>
          <w14:textFill>
            <w14:solidFill>
              <w14:schemeClr w14:val="tx1"/>
            </w14:solidFill>
          </w14:textFill>
        </w:rPr>
        <w:t>8</w:t>
      </w:r>
      <w:r>
        <w:rPr>
          <w:b/>
          <w:color w:val="000000" w:themeColor="text1"/>
          <w:sz w:val="24"/>
          <w:highlight w:val="none"/>
          <w14:textFill>
            <w14:solidFill>
              <w14:schemeClr w14:val="tx1"/>
            </w14:solidFill>
          </w14:textFill>
        </w:rPr>
        <w:t>：投标人认为需要提交的其他资料</w:t>
      </w:r>
    </w:p>
    <w:p>
      <w:pPr>
        <w:spacing w:line="460" w:lineRule="exact"/>
        <w:ind w:left="192"/>
        <w:rPr>
          <w:b/>
          <w:color w:val="000000" w:themeColor="text1"/>
          <w:sz w:val="24"/>
          <w:highlight w:val="none"/>
          <w14:textFill>
            <w14:solidFill>
              <w14:schemeClr w14:val="tx1"/>
            </w14:solidFill>
          </w14:textFill>
        </w:rPr>
      </w:pPr>
    </w:p>
    <w:p>
      <w:pPr>
        <w:autoSpaceDE w:val="0"/>
        <w:autoSpaceDN w:val="0"/>
        <w:adjustRightIn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加盖电子签章 ）</w:t>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第二阶段响应文件</w:t>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所 投 包 号：</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法定代表人姓名：</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投标代表人姓名：</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pPr>
        <w:tabs>
          <w:tab w:val="left" w:pos="360"/>
        </w:tabs>
        <w:spacing w:line="560" w:lineRule="exact"/>
        <w:jc w:val="center"/>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报价书</w:t>
      </w:r>
    </w:p>
    <w:p>
      <w:pPr>
        <w:tabs>
          <w:tab w:val="left" w:pos="360"/>
        </w:tabs>
        <w:spacing w:line="560" w:lineRule="exact"/>
        <w:jc w:val="center"/>
        <w:rPr>
          <w:b/>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pPr>
        <w:tabs>
          <w:tab w:val="left" w:pos="540"/>
          <w:tab w:val="left" w:pos="720"/>
        </w:tabs>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）的竞争性磋商邀请，签字代表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职务）经正式授权并代表投标人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（投标人名称、地址）提交网上应答及上传加盖电子签章的响应文件。</w:t>
      </w:r>
    </w:p>
    <w:p>
      <w:pPr>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磋商总价为：</w:t>
      </w:r>
    </w:p>
    <w:p>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第一包：</w:t>
      </w:r>
    </w:p>
    <w:p>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报价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元（注明币种）</w:t>
      </w:r>
    </w:p>
    <w:p>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（文字表述）。</w:t>
      </w:r>
    </w:p>
    <w:p>
      <w:pPr>
        <w:spacing w:line="460" w:lineRule="exact"/>
        <w:ind w:left="426" w:firstLine="120" w:firstLineChars="5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第二包：</w:t>
      </w:r>
    </w:p>
    <w:p>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报价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元（注明币种）</w:t>
      </w:r>
    </w:p>
    <w:p>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（文字表述）。</w:t>
      </w:r>
    </w:p>
    <w:p>
      <w:pPr>
        <w:spacing w:line="460" w:lineRule="exact"/>
        <w:ind w:left="426" w:firstLine="120" w:firstLineChars="5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p>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投标人已经对全部价格进行了认真核对，保证本报价真实、准确无误，并承担本价格所对应本项目的一切责任和义务。</w:t>
      </w:r>
    </w:p>
    <w:p>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第一、二阶段响应文件一一对应、不可分割，共同构成我方对本项目的所有承诺。</w:t>
      </w:r>
    </w:p>
    <w:p>
      <w:pPr>
        <w:spacing w:line="460" w:lineRule="exact"/>
        <w:ind w:firstLine="471"/>
        <w:rPr>
          <w:color w:val="000000" w:themeColor="text1"/>
          <w:sz w:val="24"/>
          <w:highlight w:val="none"/>
          <w14:textFill>
            <w14:solidFill>
              <w14:schemeClr w14:val="tx1"/>
            </w14:solidFill>
          </w14:textFill>
        </w:rPr>
      </w:pP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460" w:lineRule="exact"/>
        <w:ind w:firstLine="471"/>
        <w:rPr>
          <w:color w:val="000000" w:themeColor="text1"/>
          <w:sz w:val="24"/>
          <w:highlight w:val="none"/>
          <w14:textFill>
            <w14:solidFill>
              <w14:schemeClr w14:val="tx1"/>
            </w14:solidFill>
          </w14:textFill>
        </w:rPr>
      </w:pPr>
    </w:p>
    <w:p>
      <w:pPr>
        <w:spacing w:line="460" w:lineRule="exact"/>
        <w:ind w:left="192"/>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工程量清单报价表</w:t>
      </w:r>
    </w:p>
    <w:p>
      <w:pPr>
        <w:spacing w:line="560" w:lineRule="exact"/>
        <w:ind w:firstLine="420"/>
        <w:jc w:val="center"/>
        <w:rPr>
          <w:b/>
          <w:color w:val="000000" w:themeColor="text1"/>
          <w:sz w:val="24"/>
          <w:highlight w:val="none"/>
          <w14:textFill>
            <w14:solidFill>
              <w14:schemeClr w14:val="tx1"/>
            </w14:solidFill>
          </w14:textFill>
        </w:rPr>
      </w:pPr>
    </w:p>
    <w:p>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采用工程量清单价报价的有关说明：</w:t>
      </w:r>
    </w:p>
    <w:p>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工程量清单应与磋商须知、磋商项目要求、合同条件、合同协议条款和图纸一起使用。</w:t>
      </w:r>
    </w:p>
    <w:p>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工程量清单中所填入的单价与合价，应按照现行定额执行。</w:t>
      </w:r>
    </w:p>
    <w:p>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工程量清单中的每一项均需填写单价和合价。对没有填写单价或合价的项目的费用，应视为已包括在工程量清单的其他单价或合价之中。</w:t>
      </w:r>
    </w:p>
    <w:p>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工程量清单不再重复或概括工程及材料的一般说明，在编制和填写工程量清单的每一项的单价和合价时应参考竞争性磋商文件的有关条款。</w:t>
      </w:r>
    </w:p>
    <w:p>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所有报价应以人民币表示。</w:t>
      </w:r>
    </w:p>
    <w:p>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工程量清单报价表按工程量清单报价格式及顺序编制。</w:t>
      </w:r>
    </w:p>
    <w:p>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工程量清单报价应由工程量清单报价编制人员加盖造价工程师章并由审核人员加盖造价工程师章（注：编制和审核不可为同一人）。此工程量清单报价应打印盖章后，扫描放入电子响应文件。</w:t>
      </w:r>
    </w:p>
    <w:p>
      <w:pPr>
        <w:spacing w:line="560" w:lineRule="exact"/>
        <w:ind w:firstLine="420"/>
        <w:rPr>
          <w:color w:val="000000" w:themeColor="text1"/>
          <w:sz w:val="24"/>
          <w:highlight w:val="none"/>
          <w14:textFill>
            <w14:solidFill>
              <w14:schemeClr w14:val="tx1"/>
            </w14:solidFill>
          </w14:textFill>
        </w:rPr>
      </w:pPr>
    </w:p>
    <w:bookmarkEnd w:id="9"/>
    <w:sectPr>
      <w:head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F98D87-7AD1-4BF5-A8E6-1BA5A3A8A3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7CC2C1E-6F60-4F51-ABF7-DE5B2A868793}"/>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02569829-3EE2-4B9D-89EB-D133B465E9CE}"/>
  </w:font>
  <w:font w:name="华文行楷">
    <w:panose1 w:val="02010800040101010101"/>
    <w:charset w:val="86"/>
    <w:family w:val="auto"/>
    <w:pitch w:val="default"/>
    <w:sig w:usb0="00000001" w:usb1="080F0000" w:usb2="00000000" w:usb3="00000000" w:csb0="00040000" w:csb1="00000000"/>
    <w:embedRegular r:id="rId4" w:fontKey="{34D321AD-B53E-42C7-A9D4-FEB99DE00CE8}"/>
  </w:font>
  <w:font w:name="方正行楷简体">
    <w:altName w:val="微软雅黑"/>
    <w:panose1 w:val="00000000000000000000"/>
    <w:charset w:val="86"/>
    <w:family w:val="auto"/>
    <w:pitch w:val="default"/>
    <w:sig w:usb0="00000000" w:usb1="00000000" w:usb2="00000010" w:usb3="00000000" w:csb0="00040000" w:csb1="00000000"/>
    <w:embedRegular r:id="rId5" w:fontKey="{764153F3-D821-43BD-915A-50EB0F379167}"/>
  </w:font>
  <w:font w:name="楷体_GB2312">
    <w:altName w:val="楷体"/>
    <w:panose1 w:val="00000000000000000000"/>
    <w:charset w:val="00"/>
    <w:family w:val="auto"/>
    <w:pitch w:val="default"/>
    <w:sig w:usb0="00000000" w:usb1="00000000" w:usb2="00000000" w:usb3="00000000" w:csb0="00000000" w:csb1="00000000"/>
    <w:embedRegular r:id="rId6" w:fontKey="{23CF4F8B-24F4-41EB-A095-857FF0988AFA}"/>
  </w:font>
  <w:font w:name="方正楷体简体">
    <w:panose1 w:val="02000000000000000000"/>
    <w:charset w:val="86"/>
    <w:family w:val="script"/>
    <w:pitch w:val="default"/>
    <w:sig w:usb0="A00002BF" w:usb1="184F6CFA" w:usb2="00000012" w:usb3="00000000" w:csb0="00040001" w:csb1="00000000"/>
    <w:embedRegular r:id="rId7" w:fontKey="{96A575A1-9F34-4106-A171-792C9B1B7C3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lang w:eastAsia="zh-CN"/>
      </w:rPr>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竞争性磋商文件                                                    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竞争性磋商文件                                                      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竞争性磋商文件                                                        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44507166"/>
    <w:multiLevelType w:val="singleLevel"/>
    <w:tmpl w:val="44507166"/>
    <w:lvl w:ilvl="0" w:tentative="0">
      <w:start w:val="1"/>
      <w:numFmt w:val="japaneseCounting"/>
      <w:lvlText w:val="%1、"/>
      <w:lvlJc w:val="left"/>
      <w:pPr>
        <w:tabs>
          <w:tab w:val="left" w:pos="960"/>
        </w:tabs>
        <w:ind w:left="960" w:hanging="480"/>
      </w:pPr>
      <w:rPr>
        <w:rFonts w:hint="eastAsia"/>
      </w:rPr>
    </w:lvl>
  </w:abstractNum>
  <w:abstractNum w:abstractNumId="2">
    <w:nsid w:val="4B2E55C7"/>
    <w:multiLevelType w:val="singleLevel"/>
    <w:tmpl w:val="4B2E55C7"/>
    <w:lvl w:ilvl="0" w:tentative="0">
      <w:start w:val="1"/>
      <w:numFmt w:val="decimal"/>
      <w:lvlText w:val="%1、"/>
      <w:lvlJc w:val="left"/>
      <w:pPr>
        <w:tabs>
          <w:tab w:val="left" w:pos="360"/>
        </w:tabs>
        <w:ind w:left="360" w:hanging="360"/>
      </w:pPr>
      <w:rPr>
        <w:rFonts w:hint="eastAsia"/>
      </w:rPr>
    </w:lvl>
  </w:abstractNum>
  <w:abstractNum w:abstractNumId="3">
    <w:nsid w:val="5C9D301F"/>
    <w:multiLevelType w:val="singleLevel"/>
    <w:tmpl w:val="5C9D301F"/>
    <w:lvl w:ilvl="0" w:tentative="0">
      <w:start w:val="1"/>
      <w:numFmt w:val="japaneseCounting"/>
      <w:lvlText w:val="%1、"/>
      <w:lvlJc w:val="left"/>
      <w:pPr>
        <w:tabs>
          <w:tab w:val="left" w:pos="480"/>
        </w:tabs>
        <w:ind w:left="480" w:hanging="480"/>
      </w:pPr>
      <w:rPr>
        <w:rFonts w:hint="eastAsia"/>
      </w:rPr>
    </w:lvl>
  </w:abstractNum>
  <w:abstractNum w:abstractNumId="4">
    <w:nsid w:val="5CD80605"/>
    <w:multiLevelType w:val="singleLevel"/>
    <w:tmpl w:val="5CD80605"/>
    <w:lvl w:ilvl="0" w:tentative="0">
      <w:start w:val="1"/>
      <w:numFmt w:val="decimal"/>
      <w:lvlText w:val="%1、"/>
      <w:lvlJc w:val="left"/>
      <w:pPr>
        <w:tabs>
          <w:tab w:val="left" w:pos="360"/>
        </w:tabs>
        <w:ind w:left="360" w:hanging="360"/>
      </w:pPr>
      <w:rPr>
        <w:rFonts w:hint="eastAsia"/>
      </w:rPr>
    </w:lvl>
  </w:abstractNum>
  <w:abstractNum w:abstractNumId="5">
    <w:nsid w:val="6F4A3ED5"/>
    <w:multiLevelType w:val="singleLevel"/>
    <w:tmpl w:val="6F4A3ED5"/>
    <w:lvl w:ilvl="0" w:tentative="0">
      <w:start w:val="1"/>
      <w:numFmt w:val="japaneseCounting"/>
      <w:lvlText w:val="%1、"/>
      <w:lvlJc w:val="left"/>
      <w:pPr>
        <w:tabs>
          <w:tab w:val="left" w:pos="960"/>
        </w:tabs>
        <w:ind w:left="960" w:hanging="480"/>
      </w:pPr>
      <w:rPr>
        <w:rFonts w:hint="eastAsia"/>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172A27"/>
    <w:rsid w:val="00000B77"/>
    <w:rsid w:val="0000465D"/>
    <w:rsid w:val="0000587D"/>
    <w:rsid w:val="0000628A"/>
    <w:rsid w:val="00016BF0"/>
    <w:rsid w:val="00016DF5"/>
    <w:rsid w:val="0001764D"/>
    <w:rsid w:val="00020A18"/>
    <w:rsid w:val="000216E9"/>
    <w:rsid w:val="00023A21"/>
    <w:rsid w:val="000267E6"/>
    <w:rsid w:val="00030F7C"/>
    <w:rsid w:val="00032A32"/>
    <w:rsid w:val="00033E76"/>
    <w:rsid w:val="00035C07"/>
    <w:rsid w:val="000419E2"/>
    <w:rsid w:val="000429C5"/>
    <w:rsid w:val="00042ED8"/>
    <w:rsid w:val="000434B0"/>
    <w:rsid w:val="00045600"/>
    <w:rsid w:val="00045EE3"/>
    <w:rsid w:val="0005195C"/>
    <w:rsid w:val="00054F1E"/>
    <w:rsid w:val="0005619E"/>
    <w:rsid w:val="000573A8"/>
    <w:rsid w:val="0006080C"/>
    <w:rsid w:val="00062C68"/>
    <w:rsid w:val="0006452D"/>
    <w:rsid w:val="00064F40"/>
    <w:rsid w:val="00065FED"/>
    <w:rsid w:val="0007010C"/>
    <w:rsid w:val="000704BA"/>
    <w:rsid w:val="000764E0"/>
    <w:rsid w:val="00076A6F"/>
    <w:rsid w:val="00083294"/>
    <w:rsid w:val="00083E6C"/>
    <w:rsid w:val="00087925"/>
    <w:rsid w:val="00090B02"/>
    <w:rsid w:val="00090DE1"/>
    <w:rsid w:val="000916D0"/>
    <w:rsid w:val="00094961"/>
    <w:rsid w:val="000A15AB"/>
    <w:rsid w:val="000A2239"/>
    <w:rsid w:val="000A7093"/>
    <w:rsid w:val="000A7BC6"/>
    <w:rsid w:val="000B36DE"/>
    <w:rsid w:val="000B4838"/>
    <w:rsid w:val="000B5E84"/>
    <w:rsid w:val="000C0022"/>
    <w:rsid w:val="000C09BE"/>
    <w:rsid w:val="000C0F85"/>
    <w:rsid w:val="000C35F1"/>
    <w:rsid w:val="000C77B1"/>
    <w:rsid w:val="000D029F"/>
    <w:rsid w:val="000D30EB"/>
    <w:rsid w:val="000D5D51"/>
    <w:rsid w:val="000D6648"/>
    <w:rsid w:val="000E09C0"/>
    <w:rsid w:val="000E2EE1"/>
    <w:rsid w:val="000F020D"/>
    <w:rsid w:val="000F1963"/>
    <w:rsid w:val="00100DFA"/>
    <w:rsid w:val="00101429"/>
    <w:rsid w:val="00102CD6"/>
    <w:rsid w:val="001042B0"/>
    <w:rsid w:val="00104AED"/>
    <w:rsid w:val="00110B1C"/>
    <w:rsid w:val="00110C1C"/>
    <w:rsid w:val="00111E00"/>
    <w:rsid w:val="001130BC"/>
    <w:rsid w:val="001130D2"/>
    <w:rsid w:val="001151BD"/>
    <w:rsid w:val="00116E4D"/>
    <w:rsid w:val="00117413"/>
    <w:rsid w:val="00121B2F"/>
    <w:rsid w:val="00122119"/>
    <w:rsid w:val="00123655"/>
    <w:rsid w:val="00125EC4"/>
    <w:rsid w:val="001311E4"/>
    <w:rsid w:val="00132C19"/>
    <w:rsid w:val="00133BC4"/>
    <w:rsid w:val="0013496D"/>
    <w:rsid w:val="001352A3"/>
    <w:rsid w:val="0013574E"/>
    <w:rsid w:val="00137FEB"/>
    <w:rsid w:val="00142E4E"/>
    <w:rsid w:val="001479E3"/>
    <w:rsid w:val="001527AA"/>
    <w:rsid w:val="00154FC6"/>
    <w:rsid w:val="001559C7"/>
    <w:rsid w:val="00156B04"/>
    <w:rsid w:val="00157026"/>
    <w:rsid w:val="00157CD2"/>
    <w:rsid w:val="00160174"/>
    <w:rsid w:val="00161BCD"/>
    <w:rsid w:val="001642A3"/>
    <w:rsid w:val="00167F61"/>
    <w:rsid w:val="001724AD"/>
    <w:rsid w:val="00172A27"/>
    <w:rsid w:val="001740D2"/>
    <w:rsid w:val="00174AC5"/>
    <w:rsid w:val="0017532E"/>
    <w:rsid w:val="00176796"/>
    <w:rsid w:val="00181F4F"/>
    <w:rsid w:val="00184CFB"/>
    <w:rsid w:val="00190AC9"/>
    <w:rsid w:val="00193FBE"/>
    <w:rsid w:val="00197FBA"/>
    <w:rsid w:val="001A03BE"/>
    <w:rsid w:val="001A3B0C"/>
    <w:rsid w:val="001A3CF5"/>
    <w:rsid w:val="001A3FE5"/>
    <w:rsid w:val="001A5ACA"/>
    <w:rsid w:val="001A64D8"/>
    <w:rsid w:val="001B1385"/>
    <w:rsid w:val="001B3245"/>
    <w:rsid w:val="001B382F"/>
    <w:rsid w:val="001B5E15"/>
    <w:rsid w:val="001B6A39"/>
    <w:rsid w:val="001C4B68"/>
    <w:rsid w:val="001C7112"/>
    <w:rsid w:val="001C7C4F"/>
    <w:rsid w:val="001D3B7D"/>
    <w:rsid w:val="001D53D3"/>
    <w:rsid w:val="001D5812"/>
    <w:rsid w:val="001D7BB2"/>
    <w:rsid w:val="001E0D8A"/>
    <w:rsid w:val="001E5D77"/>
    <w:rsid w:val="001E7F28"/>
    <w:rsid w:val="001F054E"/>
    <w:rsid w:val="001F42A8"/>
    <w:rsid w:val="001F6106"/>
    <w:rsid w:val="0020130B"/>
    <w:rsid w:val="002034CD"/>
    <w:rsid w:val="002046E2"/>
    <w:rsid w:val="002073CA"/>
    <w:rsid w:val="002118FA"/>
    <w:rsid w:val="00212D65"/>
    <w:rsid w:val="00212EA3"/>
    <w:rsid w:val="00215586"/>
    <w:rsid w:val="00215685"/>
    <w:rsid w:val="00217E9A"/>
    <w:rsid w:val="00223A6E"/>
    <w:rsid w:val="002246AA"/>
    <w:rsid w:val="00227978"/>
    <w:rsid w:val="0023052B"/>
    <w:rsid w:val="0023119F"/>
    <w:rsid w:val="00231587"/>
    <w:rsid w:val="00231A40"/>
    <w:rsid w:val="00235BC9"/>
    <w:rsid w:val="00236454"/>
    <w:rsid w:val="00243539"/>
    <w:rsid w:val="00252A42"/>
    <w:rsid w:val="002551EE"/>
    <w:rsid w:val="00255AD9"/>
    <w:rsid w:val="00256085"/>
    <w:rsid w:val="002628CB"/>
    <w:rsid w:val="002657C3"/>
    <w:rsid w:val="002672A0"/>
    <w:rsid w:val="00270E63"/>
    <w:rsid w:val="002748DB"/>
    <w:rsid w:val="00280FDF"/>
    <w:rsid w:val="00293EE2"/>
    <w:rsid w:val="00294794"/>
    <w:rsid w:val="00296263"/>
    <w:rsid w:val="00296513"/>
    <w:rsid w:val="002A03AE"/>
    <w:rsid w:val="002A08F4"/>
    <w:rsid w:val="002A0C1A"/>
    <w:rsid w:val="002A1682"/>
    <w:rsid w:val="002A3E1A"/>
    <w:rsid w:val="002A5E49"/>
    <w:rsid w:val="002A6857"/>
    <w:rsid w:val="002B1AB7"/>
    <w:rsid w:val="002B3AEF"/>
    <w:rsid w:val="002B3EC5"/>
    <w:rsid w:val="002B435B"/>
    <w:rsid w:val="002B581C"/>
    <w:rsid w:val="002C35DA"/>
    <w:rsid w:val="002C3CED"/>
    <w:rsid w:val="002C3EC4"/>
    <w:rsid w:val="002C7AC2"/>
    <w:rsid w:val="002D0D7C"/>
    <w:rsid w:val="002D15F8"/>
    <w:rsid w:val="002D1C12"/>
    <w:rsid w:val="002D1C18"/>
    <w:rsid w:val="002D1DD5"/>
    <w:rsid w:val="002D2966"/>
    <w:rsid w:val="002D3C68"/>
    <w:rsid w:val="002D3C96"/>
    <w:rsid w:val="002D6A6F"/>
    <w:rsid w:val="002D6B01"/>
    <w:rsid w:val="002D73C8"/>
    <w:rsid w:val="002E6FE5"/>
    <w:rsid w:val="002F1F7E"/>
    <w:rsid w:val="002F2A27"/>
    <w:rsid w:val="002F5306"/>
    <w:rsid w:val="002F7DF9"/>
    <w:rsid w:val="00300228"/>
    <w:rsid w:val="003009BE"/>
    <w:rsid w:val="00300C22"/>
    <w:rsid w:val="00300C2E"/>
    <w:rsid w:val="00303131"/>
    <w:rsid w:val="0031239D"/>
    <w:rsid w:val="003126F6"/>
    <w:rsid w:val="00320B4B"/>
    <w:rsid w:val="00321450"/>
    <w:rsid w:val="0032463A"/>
    <w:rsid w:val="00326E70"/>
    <w:rsid w:val="00333004"/>
    <w:rsid w:val="00333F7A"/>
    <w:rsid w:val="00335796"/>
    <w:rsid w:val="0033787E"/>
    <w:rsid w:val="00337B0A"/>
    <w:rsid w:val="00340C50"/>
    <w:rsid w:val="00341878"/>
    <w:rsid w:val="003438C9"/>
    <w:rsid w:val="00343F8E"/>
    <w:rsid w:val="00344BA1"/>
    <w:rsid w:val="00345170"/>
    <w:rsid w:val="00345604"/>
    <w:rsid w:val="00351709"/>
    <w:rsid w:val="003573EE"/>
    <w:rsid w:val="003606FC"/>
    <w:rsid w:val="003618EA"/>
    <w:rsid w:val="00362E72"/>
    <w:rsid w:val="003640FA"/>
    <w:rsid w:val="00367A4A"/>
    <w:rsid w:val="003701FB"/>
    <w:rsid w:val="00370808"/>
    <w:rsid w:val="0037126B"/>
    <w:rsid w:val="00372453"/>
    <w:rsid w:val="00372D9D"/>
    <w:rsid w:val="0037547B"/>
    <w:rsid w:val="0038578B"/>
    <w:rsid w:val="00385ED4"/>
    <w:rsid w:val="00387313"/>
    <w:rsid w:val="003931AF"/>
    <w:rsid w:val="00393DBB"/>
    <w:rsid w:val="00394250"/>
    <w:rsid w:val="003946E5"/>
    <w:rsid w:val="00396C72"/>
    <w:rsid w:val="003A1E55"/>
    <w:rsid w:val="003A22CE"/>
    <w:rsid w:val="003A36B1"/>
    <w:rsid w:val="003A4CA6"/>
    <w:rsid w:val="003A6071"/>
    <w:rsid w:val="003A775A"/>
    <w:rsid w:val="003B2CAE"/>
    <w:rsid w:val="003B4C3A"/>
    <w:rsid w:val="003B6654"/>
    <w:rsid w:val="003B6FA3"/>
    <w:rsid w:val="003B759D"/>
    <w:rsid w:val="003C4CB4"/>
    <w:rsid w:val="003D0166"/>
    <w:rsid w:val="003D0A03"/>
    <w:rsid w:val="003D2F45"/>
    <w:rsid w:val="003D422E"/>
    <w:rsid w:val="003D6D88"/>
    <w:rsid w:val="003D7E7E"/>
    <w:rsid w:val="003E0680"/>
    <w:rsid w:val="003E1762"/>
    <w:rsid w:val="003E2928"/>
    <w:rsid w:val="003E4021"/>
    <w:rsid w:val="003E4360"/>
    <w:rsid w:val="003E4E27"/>
    <w:rsid w:val="003E5900"/>
    <w:rsid w:val="003E7D3B"/>
    <w:rsid w:val="003F554B"/>
    <w:rsid w:val="004005D3"/>
    <w:rsid w:val="0040093C"/>
    <w:rsid w:val="00404A26"/>
    <w:rsid w:val="00405BA0"/>
    <w:rsid w:val="00410277"/>
    <w:rsid w:val="004107A8"/>
    <w:rsid w:val="00411F6C"/>
    <w:rsid w:val="00414849"/>
    <w:rsid w:val="00415C41"/>
    <w:rsid w:val="004166DD"/>
    <w:rsid w:val="0042146F"/>
    <w:rsid w:val="0042248F"/>
    <w:rsid w:val="00423141"/>
    <w:rsid w:val="00423ED6"/>
    <w:rsid w:val="00426D42"/>
    <w:rsid w:val="004278B1"/>
    <w:rsid w:val="00430A55"/>
    <w:rsid w:val="004321E0"/>
    <w:rsid w:val="00435B3D"/>
    <w:rsid w:val="004414E6"/>
    <w:rsid w:val="00441D86"/>
    <w:rsid w:val="00442E1A"/>
    <w:rsid w:val="004467FB"/>
    <w:rsid w:val="00455C4C"/>
    <w:rsid w:val="004561B3"/>
    <w:rsid w:val="00460AB8"/>
    <w:rsid w:val="004642AD"/>
    <w:rsid w:val="00466DCA"/>
    <w:rsid w:val="00466EA5"/>
    <w:rsid w:val="00467E98"/>
    <w:rsid w:val="00470088"/>
    <w:rsid w:val="00475597"/>
    <w:rsid w:val="004755F2"/>
    <w:rsid w:val="00484810"/>
    <w:rsid w:val="00484AD8"/>
    <w:rsid w:val="00484C59"/>
    <w:rsid w:val="0048547F"/>
    <w:rsid w:val="004866C0"/>
    <w:rsid w:val="00487087"/>
    <w:rsid w:val="00490984"/>
    <w:rsid w:val="0049121D"/>
    <w:rsid w:val="004913FF"/>
    <w:rsid w:val="00494339"/>
    <w:rsid w:val="00494C98"/>
    <w:rsid w:val="00494FC5"/>
    <w:rsid w:val="004952E7"/>
    <w:rsid w:val="004955C4"/>
    <w:rsid w:val="00496DAA"/>
    <w:rsid w:val="004A39E4"/>
    <w:rsid w:val="004A3B1E"/>
    <w:rsid w:val="004A408B"/>
    <w:rsid w:val="004B17FD"/>
    <w:rsid w:val="004B1E88"/>
    <w:rsid w:val="004B4E93"/>
    <w:rsid w:val="004B5C68"/>
    <w:rsid w:val="004B675F"/>
    <w:rsid w:val="004B6B14"/>
    <w:rsid w:val="004B787B"/>
    <w:rsid w:val="004C0C1A"/>
    <w:rsid w:val="004C5C3A"/>
    <w:rsid w:val="004C6D18"/>
    <w:rsid w:val="004C7221"/>
    <w:rsid w:val="004C787E"/>
    <w:rsid w:val="004D1434"/>
    <w:rsid w:val="004D1D00"/>
    <w:rsid w:val="004D2271"/>
    <w:rsid w:val="004D3241"/>
    <w:rsid w:val="004D45B7"/>
    <w:rsid w:val="004D5B80"/>
    <w:rsid w:val="004E4951"/>
    <w:rsid w:val="004E69C4"/>
    <w:rsid w:val="004F2716"/>
    <w:rsid w:val="004F4224"/>
    <w:rsid w:val="004F4FD5"/>
    <w:rsid w:val="004F5EA6"/>
    <w:rsid w:val="0050312D"/>
    <w:rsid w:val="00503DFE"/>
    <w:rsid w:val="00505935"/>
    <w:rsid w:val="00511632"/>
    <w:rsid w:val="00521432"/>
    <w:rsid w:val="00523739"/>
    <w:rsid w:val="00524164"/>
    <w:rsid w:val="00525B69"/>
    <w:rsid w:val="0053092B"/>
    <w:rsid w:val="00531C16"/>
    <w:rsid w:val="00532705"/>
    <w:rsid w:val="005374D6"/>
    <w:rsid w:val="00540C6A"/>
    <w:rsid w:val="0054122F"/>
    <w:rsid w:val="00542D19"/>
    <w:rsid w:val="00544AC1"/>
    <w:rsid w:val="00545005"/>
    <w:rsid w:val="00545E39"/>
    <w:rsid w:val="0055122D"/>
    <w:rsid w:val="00551AF5"/>
    <w:rsid w:val="00552D90"/>
    <w:rsid w:val="00552FAC"/>
    <w:rsid w:val="00553863"/>
    <w:rsid w:val="00557388"/>
    <w:rsid w:val="005576E2"/>
    <w:rsid w:val="005621FF"/>
    <w:rsid w:val="005624C4"/>
    <w:rsid w:val="00562DA8"/>
    <w:rsid w:val="00562F00"/>
    <w:rsid w:val="005665F9"/>
    <w:rsid w:val="00570B27"/>
    <w:rsid w:val="00572015"/>
    <w:rsid w:val="00572908"/>
    <w:rsid w:val="00573B9E"/>
    <w:rsid w:val="00577060"/>
    <w:rsid w:val="005773EB"/>
    <w:rsid w:val="0058469C"/>
    <w:rsid w:val="00585C94"/>
    <w:rsid w:val="00587F29"/>
    <w:rsid w:val="005904A7"/>
    <w:rsid w:val="00591706"/>
    <w:rsid w:val="00595A08"/>
    <w:rsid w:val="00595A5D"/>
    <w:rsid w:val="005977F2"/>
    <w:rsid w:val="005A0675"/>
    <w:rsid w:val="005A23B4"/>
    <w:rsid w:val="005A26D3"/>
    <w:rsid w:val="005A459A"/>
    <w:rsid w:val="005A5580"/>
    <w:rsid w:val="005A60AC"/>
    <w:rsid w:val="005B0199"/>
    <w:rsid w:val="005B0B70"/>
    <w:rsid w:val="005B1BED"/>
    <w:rsid w:val="005B4997"/>
    <w:rsid w:val="005B58CE"/>
    <w:rsid w:val="005C11A2"/>
    <w:rsid w:val="005C3D81"/>
    <w:rsid w:val="005C4572"/>
    <w:rsid w:val="005C726B"/>
    <w:rsid w:val="005D1215"/>
    <w:rsid w:val="005D5B32"/>
    <w:rsid w:val="005D7D84"/>
    <w:rsid w:val="005D7EB0"/>
    <w:rsid w:val="005E040B"/>
    <w:rsid w:val="005E2C9A"/>
    <w:rsid w:val="005E5F21"/>
    <w:rsid w:val="005E6280"/>
    <w:rsid w:val="005F1A71"/>
    <w:rsid w:val="005F427F"/>
    <w:rsid w:val="005F44B6"/>
    <w:rsid w:val="005F45E5"/>
    <w:rsid w:val="005F4DEC"/>
    <w:rsid w:val="005F5EB9"/>
    <w:rsid w:val="005F5F40"/>
    <w:rsid w:val="005F7212"/>
    <w:rsid w:val="005F7BD9"/>
    <w:rsid w:val="00601118"/>
    <w:rsid w:val="0060185D"/>
    <w:rsid w:val="00604D55"/>
    <w:rsid w:val="00605EAD"/>
    <w:rsid w:val="00610478"/>
    <w:rsid w:val="00610669"/>
    <w:rsid w:val="00613EBE"/>
    <w:rsid w:val="0061678D"/>
    <w:rsid w:val="00617FF6"/>
    <w:rsid w:val="00621409"/>
    <w:rsid w:val="00621416"/>
    <w:rsid w:val="006221A5"/>
    <w:rsid w:val="006240E8"/>
    <w:rsid w:val="00624C04"/>
    <w:rsid w:val="0062612F"/>
    <w:rsid w:val="00626E4F"/>
    <w:rsid w:val="00627359"/>
    <w:rsid w:val="0062763C"/>
    <w:rsid w:val="0063158C"/>
    <w:rsid w:val="006349C8"/>
    <w:rsid w:val="006354C2"/>
    <w:rsid w:val="006373C4"/>
    <w:rsid w:val="00640411"/>
    <w:rsid w:val="0064212A"/>
    <w:rsid w:val="00645B80"/>
    <w:rsid w:val="006505CD"/>
    <w:rsid w:val="00650800"/>
    <w:rsid w:val="0066050D"/>
    <w:rsid w:val="0066218F"/>
    <w:rsid w:val="006621C9"/>
    <w:rsid w:val="00662F5A"/>
    <w:rsid w:val="00662FFD"/>
    <w:rsid w:val="00665184"/>
    <w:rsid w:val="006726B3"/>
    <w:rsid w:val="0067517A"/>
    <w:rsid w:val="006800F5"/>
    <w:rsid w:val="00681702"/>
    <w:rsid w:val="006817F3"/>
    <w:rsid w:val="00682371"/>
    <w:rsid w:val="006837AD"/>
    <w:rsid w:val="00684C3C"/>
    <w:rsid w:val="006853AD"/>
    <w:rsid w:val="00687143"/>
    <w:rsid w:val="00687BE8"/>
    <w:rsid w:val="0069366F"/>
    <w:rsid w:val="00693D58"/>
    <w:rsid w:val="00693F3A"/>
    <w:rsid w:val="00693FB1"/>
    <w:rsid w:val="00695E07"/>
    <w:rsid w:val="0069696F"/>
    <w:rsid w:val="00696EC0"/>
    <w:rsid w:val="006A440B"/>
    <w:rsid w:val="006A727A"/>
    <w:rsid w:val="006B4716"/>
    <w:rsid w:val="006B4877"/>
    <w:rsid w:val="006B4D99"/>
    <w:rsid w:val="006B5EA6"/>
    <w:rsid w:val="006B76C5"/>
    <w:rsid w:val="006C05EF"/>
    <w:rsid w:val="006C3B0C"/>
    <w:rsid w:val="006C48B3"/>
    <w:rsid w:val="006C5210"/>
    <w:rsid w:val="006C6E37"/>
    <w:rsid w:val="006D18F1"/>
    <w:rsid w:val="006D22B1"/>
    <w:rsid w:val="006D3686"/>
    <w:rsid w:val="006D4021"/>
    <w:rsid w:val="006D5B49"/>
    <w:rsid w:val="006D6B76"/>
    <w:rsid w:val="006E02F8"/>
    <w:rsid w:val="006E19FF"/>
    <w:rsid w:val="006E3E83"/>
    <w:rsid w:val="006E4895"/>
    <w:rsid w:val="006E527F"/>
    <w:rsid w:val="006F1427"/>
    <w:rsid w:val="006F24BA"/>
    <w:rsid w:val="00700F46"/>
    <w:rsid w:val="00700F81"/>
    <w:rsid w:val="00702764"/>
    <w:rsid w:val="0070364F"/>
    <w:rsid w:val="00703F2F"/>
    <w:rsid w:val="0070632F"/>
    <w:rsid w:val="00706E8C"/>
    <w:rsid w:val="00707CC8"/>
    <w:rsid w:val="00711372"/>
    <w:rsid w:val="00711AD1"/>
    <w:rsid w:val="007120C8"/>
    <w:rsid w:val="00713792"/>
    <w:rsid w:val="00716479"/>
    <w:rsid w:val="007203AA"/>
    <w:rsid w:val="00720FC2"/>
    <w:rsid w:val="00721024"/>
    <w:rsid w:val="007246B3"/>
    <w:rsid w:val="00724799"/>
    <w:rsid w:val="007249A1"/>
    <w:rsid w:val="00726D6E"/>
    <w:rsid w:val="00727323"/>
    <w:rsid w:val="007314A4"/>
    <w:rsid w:val="00737FEC"/>
    <w:rsid w:val="00745154"/>
    <w:rsid w:val="0074587F"/>
    <w:rsid w:val="00757FFC"/>
    <w:rsid w:val="00762DD0"/>
    <w:rsid w:val="007635D4"/>
    <w:rsid w:val="007641C5"/>
    <w:rsid w:val="007647DB"/>
    <w:rsid w:val="00772CAB"/>
    <w:rsid w:val="00781482"/>
    <w:rsid w:val="00781B20"/>
    <w:rsid w:val="00782C83"/>
    <w:rsid w:val="00782F30"/>
    <w:rsid w:val="00785E23"/>
    <w:rsid w:val="0078732E"/>
    <w:rsid w:val="00787E00"/>
    <w:rsid w:val="00792106"/>
    <w:rsid w:val="00793D9A"/>
    <w:rsid w:val="0079570B"/>
    <w:rsid w:val="007967D5"/>
    <w:rsid w:val="007A1445"/>
    <w:rsid w:val="007A3E0A"/>
    <w:rsid w:val="007A7AB6"/>
    <w:rsid w:val="007B2C07"/>
    <w:rsid w:val="007B2CFB"/>
    <w:rsid w:val="007B503E"/>
    <w:rsid w:val="007B6CED"/>
    <w:rsid w:val="007B7DB2"/>
    <w:rsid w:val="007C1810"/>
    <w:rsid w:val="007C1B00"/>
    <w:rsid w:val="007C3CFF"/>
    <w:rsid w:val="007C418A"/>
    <w:rsid w:val="007C5EE2"/>
    <w:rsid w:val="007C6375"/>
    <w:rsid w:val="007C6859"/>
    <w:rsid w:val="007C7796"/>
    <w:rsid w:val="007C77D0"/>
    <w:rsid w:val="007D45C1"/>
    <w:rsid w:val="007E06D9"/>
    <w:rsid w:val="007E0DE4"/>
    <w:rsid w:val="007E366E"/>
    <w:rsid w:val="007E5B2A"/>
    <w:rsid w:val="007E6EFA"/>
    <w:rsid w:val="007F0945"/>
    <w:rsid w:val="007F5D8A"/>
    <w:rsid w:val="00803463"/>
    <w:rsid w:val="00803604"/>
    <w:rsid w:val="00806DD2"/>
    <w:rsid w:val="00812E6D"/>
    <w:rsid w:val="008135F1"/>
    <w:rsid w:val="00815969"/>
    <w:rsid w:val="008204B5"/>
    <w:rsid w:val="00822EF9"/>
    <w:rsid w:val="008242F4"/>
    <w:rsid w:val="00824C9D"/>
    <w:rsid w:val="008314B0"/>
    <w:rsid w:val="00832874"/>
    <w:rsid w:val="00833682"/>
    <w:rsid w:val="00834B01"/>
    <w:rsid w:val="008376ED"/>
    <w:rsid w:val="00846CEA"/>
    <w:rsid w:val="00850744"/>
    <w:rsid w:val="00854FEF"/>
    <w:rsid w:val="0085531E"/>
    <w:rsid w:val="00860F27"/>
    <w:rsid w:val="0086117D"/>
    <w:rsid w:val="00870159"/>
    <w:rsid w:val="00870CF0"/>
    <w:rsid w:val="00871606"/>
    <w:rsid w:val="008735F2"/>
    <w:rsid w:val="00874E27"/>
    <w:rsid w:val="00881805"/>
    <w:rsid w:val="00881867"/>
    <w:rsid w:val="008818D4"/>
    <w:rsid w:val="00882CFD"/>
    <w:rsid w:val="00885DB9"/>
    <w:rsid w:val="00886100"/>
    <w:rsid w:val="00886487"/>
    <w:rsid w:val="008916D5"/>
    <w:rsid w:val="00891E33"/>
    <w:rsid w:val="008972CA"/>
    <w:rsid w:val="00897671"/>
    <w:rsid w:val="008A041D"/>
    <w:rsid w:val="008A132D"/>
    <w:rsid w:val="008A2023"/>
    <w:rsid w:val="008A2CB9"/>
    <w:rsid w:val="008A34A6"/>
    <w:rsid w:val="008A5E84"/>
    <w:rsid w:val="008A6A3B"/>
    <w:rsid w:val="008B1062"/>
    <w:rsid w:val="008B1CB3"/>
    <w:rsid w:val="008C14BA"/>
    <w:rsid w:val="008C23C6"/>
    <w:rsid w:val="008C4E92"/>
    <w:rsid w:val="008C7F29"/>
    <w:rsid w:val="008D1E24"/>
    <w:rsid w:val="008D2DBD"/>
    <w:rsid w:val="008D374D"/>
    <w:rsid w:val="008D7195"/>
    <w:rsid w:val="008D73B2"/>
    <w:rsid w:val="008E3C42"/>
    <w:rsid w:val="008E493B"/>
    <w:rsid w:val="008E4FC7"/>
    <w:rsid w:val="008E7331"/>
    <w:rsid w:val="008F353C"/>
    <w:rsid w:val="008F6AEF"/>
    <w:rsid w:val="008F6B88"/>
    <w:rsid w:val="008F7A5E"/>
    <w:rsid w:val="00900321"/>
    <w:rsid w:val="0090065D"/>
    <w:rsid w:val="00901163"/>
    <w:rsid w:val="0090165F"/>
    <w:rsid w:val="009055F5"/>
    <w:rsid w:val="009111AE"/>
    <w:rsid w:val="009200F5"/>
    <w:rsid w:val="009210FB"/>
    <w:rsid w:val="00922F95"/>
    <w:rsid w:val="009257A0"/>
    <w:rsid w:val="009268E3"/>
    <w:rsid w:val="00927571"/>
    <w:rsid w:val="009331D5"/>
    <w:rsid w:val="00934660"/>
    <w:rsid w:val="00936757"/>
    <w:rsid w:val="00940A1A"/>
    <w:rsid w:val="0094300C"/>
    <w:rsid w:val="0094323B"/>
    <w:rsid w:val="00945688"/>
    <w:rsid w:val="00947296"/>
    <w:rsid w:val="00947844"/>
    <w:rsid w:val="009501C8"/>
    <w:rsid w:val="00957C77"/>
    <w:rsid w:val="0096400C"/>
    <w:rsid w:val="00967967"/>
    <w:rsid w:val="00971E22"/>
    <w:rsid w:val="00972A53"/>
    <w:rsid w:val="00972AB4"/>
    <w:rsid w:val="009811BB"/>
    <w:rsid w:val="00984D63"/>
    <w:rsid w:val="00985DDE"/>
    <w:rsid w:val="00990DFB"/>
    <w:rsid w:val="00991362"/>
    <w:rsid w:val="0099181F"/>
    <w:rsid w:val="009A0835"/>
    <w:rsid w:val="009A1ECC"/>
    <w:rsid w:val="009A27C1"/>
    <w:rsid w:val="009B22F4"/>
    <w:rsid w:val="009B324F"/>
    <w:rsid w:val="009B3CAF"/>
    <w:rsid w:val="009B7C64"/>
    <w:rsid w:val="009C374E"/>
    <w:rsid w:val="009C4FC8"/>
    <w:rsid w:val="009D308A"/>
    <w:rsid w:val="009D32E2"/>
    <w:rsid w:val="009D34BF"/>
    <w:rsid w:val="009D3FF8"/>
    <w:rsid w:val="009D6F98"/>
    <w:rsid w:val="009D7D10"/>
    <w:rsid w:val="009D7F8F"/>
    <w:rsid w:val="009E3E57"/>
    <w:rsid w:val="009E401C"/>
    <w:rsid w:val="009E433C"/>
    <w:rsid w:val="009E4A70"/>
    <w:rsid w:val="009E4E67"/>
    <w:rsid w:val="009E4FFA"/>
    <w:rsid w:val="009E6866"/>
    <w:rsid w:val="009F5723"/>
    <w:rsid w:val="009F7AA2"/>
    <w:rsid w:val="00A00EA3"/>
    <w:rsid w:val="00A16412"/>
    <w:rsid w:val="00A1789A"/>
    <w:rsid w:val="00A20293"/>
    <w:rsid w:val="00A230AE"/>
    <w:rsid w:val="00A23E95"/>
    <w:rsid w:val="00A23FAC"/>
    <w:rsid w:val="00A2483D"/>
    <w:rsid w:val="00A24B5D"/>
    <w:rsid w:val="00A32B7D"/>
    <w:rsid w:val="00A337C7"/>
    <w:rsid w:val="00A364CE"/>
    <w:rsid w:val="00A407DC"/>
    <w:rsid w:val="00A43545"/>
    <w:rsid w:val="00A44073"/>
    <w:rsid w:val="00A518C4"/>
    <w:rsid w:val="00A52E21"/>
    <w:rsid w:val="00A53B5E"/>
    <w:rsid w:val="00A53DDA"/>
    <w:rsid w:val="00A53FDE"/>
    <w:rsid w:val="00A55784"/>
    <w:rsid w:val="00A56E1E"/>
    <w:rsid w:val="00A61143"/>
    <w:rsid w:val="00A61A54"/>
    <w:rsid w:val="00A620E0"/>
    <w:rsid w:val="00A62C23"/>
    <w:rsid w:val="00A65180"/>
    <w:rsid w:val="00A6554D"/>
    <w:rsid w:val="00A678A9"/>
    <w:rsid w:val="00A702D0"/>
    <w:rsid w:val="00A704F0"/>
    <w:rsid w:val="00A7094B"/>
    <w:rsid w:val="00A71418"/>
    <w:rsid w:val="00A74039"/>
    <w:rsid w:val="00A74F71"/>
    <w:rsid w:val="00A7533B"/>
    <w:rsid w:val="00A75A21"/>
    <w:rsid w:val="00A76B93"/>
    <w:rsid w:val="00A76D49"/>
    <w:rsid w:val="00A80A6B"/>
    <w:rsid w:val="00A816FC"/>
    <w:rsid w:val="00A81F05"/>
    <w:rsid w:val="00A8225B"/>
    <w:rsid w:val="00A87547"/>
    <w:rsid w:val="00A87C0C"/>
    <w:rsid w:val="00A905CE"/>
    <w:rsid w:val="00A93719"/>
    <w:rsid w:val="00A94FE3"/>
    <w:rsid w:val="00A9524E"/>
    <w:rsid w:val="00AA0139"/>
    <w:rsid w:val="00AA05AE"/>
    <w:rsid w:val="00AA3E09"/>
    <w:rsid w:val="00AA4354"/>
    <w:rsid w:val="00AA4AA5"/>
    <w:rsid w:val="00AA6E51"/>
    <w:rsid w:val="00AB0990"/>
    <w:rsid w:val="00AB2538"/>
    <w:rsid w:val="00AB2F10"/>
    <w:rsid w:val="00AB687D"/>
    <w:rsid w:val="00AB7FAA"/>
    <w:rsid w:val="00AC57B4"/>
    <w:rsid w:val="00AC5A04"/>
    <w:rsid w:val="00AC6A3D"/>
    <w:rsid w:val="00AC7294"/>
    <w:rsid w:val="00AD076E"/>
    <w:rsid w:val="00AD3C7B"/>
    <w:rsid w:val="00AD50A5"/>
    <w:rsid w:val="00AD6676"/>
    <w:rsid w:val="00AE28C3"/>
    <w:rsid w:val="00AE2BEB"/>
    <w:rsid w:val="00AE4967"/>
    <w:rsid w:val="00AE59B1"/>
    <w:rsid w:val="00AE7BB2"/>
    <w:rsid w:val="00AF1C29"/>
    <w:rsid w:val="00AF23F1"/>
    <w:rsid w:val="00AF5B5A"/>
    <w:rsid w:val="00B007E4"/>
    <w:rsid w:val="00B04140"/>
    <w:rsid w:val="00B04186"/>
    <w:rsid w:val="00B051DA"/>
    <w:rsid w:val="00B10A98"/>
    <w:rsid w:val="00B11DC2"/>
    <w:rsid w:val="00B1421B"/>
    <w:rsid w:val="00B24BA8"/>
    <w:rsid w:val="00B2780D"/>
    <w:rsid w:val="00B30DCA"/>
    <w:rsid w:val="00B31FA4"/>
    <w:rsid w:val="00B32593"/>
    <w:rsid w:val="00B40906"/>
    <w:rsid w:val="00B45822"/>
    <w:rsid w:val="00B47525"/>
    <w:rsid w:val="00B55957"/>
    <w:rsid w:val="00B56D30"/>
    <w:rsid w:val="00B602E3"/>
    <w:rsid w:val="00B62DE5"/>
    <w:rsid w:val="00B62F10"/>
    <w:rsid w:val="00B64ECB"/>
    <w:rsid w:val="00B65ED1"/>
    <w:rsid w:val="00B6611D"/>
    <w:rsid w:val="00B674D7"/>
    <w:rsid w:val="00B715F9"/>
    <w:rsid w:val="00B74DB4"/>
    <w:rsid w:val="00B769AF"/>
    <w:rsid w:val="00B81AC3"/>
    <w:rsid w:val="00B81B71"/>
    <w:rsid w:val="00B8228C"/>
    <w:rsid w:val="00B869B2"/>
    <w:rsid w:val="00B92514"/>
    <w:rsid w:val="00B9337F"/>
    <w:rsid w:val="00B9726E"/>
    <w:rsid w:val="00BA0966"/>
    <w:rsid w:val="00BA0CF6"/>
    <w:rsid w:val="00BA0ECA"/>
    <w:rsid w:val="00BA13B1"/>
    <w:rsid w:val="00BA6966"/>
    <w:rsid w:val="00BA6BC0"/>
    <w:rsid w:val="00BB158A"/>
    <w:rsid w:val="00BB35D2"/>
    <w:rsid w:val="00BB37DB"/>
    <w:rsid w:val="00BB3A8D"/>
    <w:rsid w:val="00BB3C70"/>
    <w:rsid w:val="00BB709F"/>
    <w:rsid w:val="00BC19D4"/>
    <w:rsid w:val="00BC52F8"/>
    <w:rsid w:val="00BC6BB8"/>
    <w:rsid w:val="00BC7F5C"/>
    <w:rsid w:val="00BD4068"/>
    <w:rsid w:val="00BD4CA4"/>
    <w:rsid w:val="00BD5F6D"/>
    <w:rsid w:val="00BE2B31"/>
    <w:rsid w:val="00BE3C72"/>
    <w:rsid w:val="00BE4E9B"/>
    <w:rsid w:val="00BE6359"/>
    <w:rsid w:val="00BE6C4C"/>
    <w:rsid w:val="00BE72B2"/>
    <w:rsid w:val="00BE762D"/>
    <w:rsid w:val="00BF26BC"/>
    <w:rsid w:val="00BF7A9F"/>
    <w:rsid w:val="00C051E8"/>
    <w:rsid w:val="00C05832"/>
    <w:rsid w:val="00C06CB5"/>
    <w:rsid w:val="00C07490"/>
    <w:rsid w:val="00C12F9C"/>
    <w:rsid w:val="00C15961"/>
    <w:rsid w:val="00C20EBD"/>
    <w:rsid w:val="00C22999"/>
    <w:rsid w:val="00C22A18"/>
    <w:rsid w:val="00C24501"/>
    <w:rsid w:val="00C25E73"/>
    <w:rsid w:val="00C261C5"/>
    <w:rsid w:val="00C32976"/>
    <w:rsid w:val="00C33164"/>
    <w:rsid w:val="00C37308"/>
    <w:rsid w:val="00C412FD"/>
    <w:rsid w:val="00C445F4"/>
    <w:rsid w:val="00C526FE"/>
    <w:rsid w:val="00C57DEA"/>
    <w:rsid w:val="00C620BD"/>
    <w:rsid w:val="00C631E4"/>
    <w:rsid w:val="00C63F44"/>
    <w:rsid w:val="00C65114"/>
    <w:rsid w:val="00C66BDF"/>
    <w:rsid w:val="00C70306"/>
    <w:rsid w:val="00C736EE"/>
    <w:rsid w:val="00C75C9A"/>
    <w:rsid w:val="00C76F5E"/>
    <w:rsid w:val="00C77314"/>
    <w:rsid w:val="00C80329"/>
    <w:rsid w:val="00C80CBC"/>
    <w:rsid w:val="00C90589"/>
    <w:rsid w:val="00C9125A"/>
    <w:rsid w:val="00C9283B"/>
    <w:rsid w:val="00C93BFA"/>
    <w:rsid w:val="00C95EEA"/>
    <w:rsid w:val="00CA07AA"/>
    <w:rsid w:val="00CA0902"/>
    <w:rsid w:val="00CA0FAF"/>
    <w:rsid w:val="00CA2A62"/>
    <w:rsid w:val="00CA2DD0"/>
    <w:rsid w:val="00CA35FC"/>
    <w:rsid w:val="00CB0E25"/>
    <w:rsid w:val="00CC395B"/>
    <w:rsid w:val="00CC420F"/>
    <w:rsid w:val="00CC4597"/>
    <w:rsid w:val="00CC6C7A"/>
    <w:rsid w:val="00CD0442"/>
    <w:rsid w:val="00CD120C"/>
    <w:rsid w:val="00CD35DC"/>
    <w:rsid w:val="00CD4E0D"/>
    <w:rsid w:val="00CD651E"/>
    <w:rsid w:val="00CD691B"/>
    <w:rsid w:val="00CE2661"/>
    <w:rsid w:val="00CE2D10"/>
    <w:rsid w:val="00CE664D"/>
    <w:rsid w:val="00CE7786"/>
    <w:rsid w:val="00CF2375"/>
    <w:rsid w:val="00CF2EAF"/>
    <w:rsid w:val="00CF3479"/>
    <w:rsid w:val="00CF3C7F"/>
    <w:rsid w:val="00CF6148"/>
    <w:rsid w:val="00CF69F9"/>
    <w:rsid w:val="00D01FC3"/>
    <w:rsid w:val="00D04239"/>
    <w:rsid w:val="00D1064D"/>
    <w:rsid w:val="00D11385"/>
    <w:rsid w:val="00D117F1"/>
    <w:rsid w:val="00D11EB7"/>
    <w:rsid w:val="00D13A30"/>
    <w:rsid w:val="00D14CF5"/>
    <w:rsid w:val="00D15DF9"/>
    <w:rsid w:val="00D1707A"/>
    <w:rsid w:val="00D179FD"/>
    <w:rsid w:val="00D17AB6"/>
    <w:rsid w:val="00D21214"/>
    <w:rsid w:val="00D21C30"/>
    <w:rsid w:val="00D2528A"/>
    <w:rsid w:val="00D270D1"/>
    <w:rsid w:val="00D278F2"/>
    <w:rsid w:val="00D318BC"/>
    <w:rsid w:val="00D3318E"/>
    <w:rsid w:val="00D35415"/>
    <w:rsid w:val="00D35761"/>
    <w:rsid w:val="00D373FC"/>
    <w:rsid w:val="00D37450"/>
    <w:rsid w:val="00D40300"/>
    <w:rsid w:val="00D40B32"/>
    <w:rsid w:val="00D40CD0"/>
    <w:rsid w:val="00D50D2D"/>
    <w:rsid w:val="00D516B2"/>
    <w:rsid w:val="00D516C2"/>
    <w:rsid w:val="00D5316B"/>
    <w:rsid w:val="00D563AD"/>
    <w:rsid w:val="00D57C34"/>
    <w:rsid w:val="00D631B3"/>
    <w:rsid w:val="00D63C00"/>
    <w:rsid w:val="00D64A44"/>
    <w:rsid w:val="00D6607A"/>
    <w:rsid w:val="00D67FC6"/>
    <w:rsid w:val="00D7478A"/>
    <w:rsid w:val="00D80560"/>
    <w:rsid w:val="00D84F95"/>
    <w:rsid w:val="00D85B11"/>
    <w:rsid w:val="00D85FB7"/>
    <w:rsid w:val="00D85FC6"/>
    <w:rsid w:val="00D863E7"/>
    <w:rsid w:val="00D86D6D"/>
    <w:rsid w:val="00D8759C"/>
    <w:rsid w:val="00D92F36"/>
    <w:rsid w:val="00D92F6B"/>
    <w:rsid w:val="00D942B4"/>
    <w:rsid w:val="00D9534C"/>
    <w:rsid w:val="00DA5BAE"/>
    <w:rsid w:val="00DA64A4"/>
    <w:rsid w:val="00DA6A35"/>
    <w:rsid w:val="00DB10F2"/>
    <w:rsid w:val="00DB2DDA"/>
    <w:rsid w:val="00DB2E96"/>
    <w:rsid w:val="00DB443D"/>
    <w:rsid w:val="00DB5613"/>
    <w:rsid w:val="00DB7B08"/>
    <w:rsid w:val="00DC6F19"/>
    <w:rsid w:val="00DD2074"/>
    <w:rsid w:val="00DD48B2"/>
    <w:rsid w:val="00DE225B"/>
    <w:rsid w:val="00DE5240"/>
    <w:rsid w:val="00DE5A34"/>
    <w:rsid w:val="00DE6496"/>
    <w:rsid w:val="00DE6DA6"/>
    <w:rsid w:val="00DF22BD"/>
    <w:rsid w:val="00DF2E39"/>
    <w:rsid w:val="00DF3063"/>
    <w:rsid w:val="00DF3298"/>
    <w:rsid w:val="00DF5022"/>
    <w:rsid w:val="00E02866"/>
    <w:rsid w:val="00E02A4A"/>
    <w:rsid w:val="00E03C50"/>
    <w:rsid w:val="00E05357"/>
    <w:rsid w:val="00E06045"/>
    <w:rsid w:val="00E074A3"/>
    <w:rsid w:val="00E07B33"/>
    <w:rsid w:val="00E1140C"/>
    <w:rsid w:val="00E1251F"/>
    <w:rsid w:val="00E1269D"/>
    <w:rsid w:val="00E13AB8"/>
    <w:rsid w:val="00E17127"/>
    <w:rsid w:val="00E20CD7"/>
    <w:rsid w:val="00E21056"/>
    <w:rsid w:val="00E2137A"/>
    <w:rsid w:val="00E22087"/>
    <w:rsid w:val="00E24EE5"/>
    <w:rsid w:val="00E2582C"/>
    <w:rsid w:val="00E25F4F"/>
    <w:rsid w:val="00E27F95"/>
    <w:rsid w:val="00E33125"/>
    <w:rsid w:val="00E33F6F"/>
    <w:rsid w:val="00E340D0"/>
    <w:rsid w:val="00E40ED8"/>
    <w:rsid w:val="00E4116A"/>
    <w:rsid w:val="00E41787"/>
    <w:rsid w:val="00E43CA1"/>
    <w:rsid w:val="00E44383"/>
    <w:rsid w:val="00E44B5E"/>
    <w:rsid w:val="00E47D54"/>
    <w:rsid w:val="00E52128"/>
    <w:rsid w:val="00E5285A"/>
    <w:rsid w:val="00E530DB"/>
    <w:rsid w:val="00E56FE6"/>
    <w:rsid w:val="00E6047E"/>
    <w:rsid w:val="00E60B3D"/>
    <w:rsid w:val="00E618AE"/>
    <w:rsid w:val="00E61C19"/>
    <w:rsid w:val="00E716F6"/>
    <w:rsid w:val="00E7351F"/>
    <w:rsid w:val="00E73BFF"/>
    <w:rsid w:val="00E7603E"/>
    <w:rsid w:val="00E84D97"/>
    <w:rsid w:val="00E852C3"/>
    <w:rsid w:val="00E869CB"/>
    <w:rsid w:val="00E87037"/>
    <w:rsid w:val="00E90319"/>
    <w:rsid w:val="00E92969"/>
    <w:rsid w:val="00E95E96"/>
    <w:rsid w:val="00E975F7"/>
    <w:rsid w:val="00E97DE2"/>
    <w:rsid w:val="00EA3612"/>
    <w:rsid w:val="00EA3F6A"/>
    <w:rsid w:val="00EA43B0"/>
    <w:rsid w:val="00EB291B"/>
    <w:rsid w:val="00EB3A88"/>
    <w:rsid w:val="00EB6993"/>
    <w:rsid w:val="00EC12EF"/>
    <w:rsid w:val="00EC4DFA"/>
    <w:rsid w:val="00EC5999"/>
    <w:rsid w:val="00EC729F"/>
    <w:rsid w:val="00ED0B5D"/>
    <w:rsid w:val="00ED4267"/>
    <w:rsid w:val="00ED61E3"/>
    <w:rsid w:val="00EE28E9"/>
    <w:rsid w:val="00EE5A7C"/>
    <w:rsid w:val="00EE7D45"/>
    <w:rsid w:val="00EF1FBE"/>
    <w:rsid w:val="00EF3871"/>
    <w:rsid w:val="00EF5744"/>
    <w:rsid w:val="00EF5E33"/>
    <w:rsid w:val="00EF78D5"/>
    <w:rsid w:val="00F0037F"/>
    <w:rsid w:val="00F014E1"/>
    <w:rsid w:val="00F01A32"/>
    <w:rsid w:val="00F022D5"/>
    <w:rsid w:val="00F032D8"/>
    <w:rsid w:val="00F04ACB"/>
    <w:rsid w:val="00F05473"/>
    <w:rsid w:val="00F11ABF"/>
    <w:rsid w:val="00F11EDF"/>
    <w:rsid w:val="00F1600B"/>
    <w:rsid w:val="00F16668"/>
    <w:rsid w:val="00F1685A"/>
    <w:rsid w:val="00F16E05"/>
    <w:rsid w:val="00F20095"/>
    <w:rsid w:val="00F2323F"/>
    <w:rsid w:val="00F23A76"/>
    <w:rsid w:val="00F26981"/>
    <w:rsid w:val="00F331B4"/>
    <w:rsid w:val="00F36A36"/>
    <w:rsid w:val="00F372B1"/>
    <w:rsid w:val="00F37385"/>
    <w:rsid w:val="00F40005"/>
    <w:rsid w:val="00F41B40"/>
    <w:rsid w:val="00F41D72"/>
    <w:rsid w:val="00F444C8"/>
    <w:rsid w:val="00F52451"/>
    <w:rsid w:val="00F52F78"/>
    <w:rsid w:val="00F5384E"/>
    <w:rsid w:val="00F54D69"/>
    <w:rsid w:val="00F5533F"/>
    <w:rsid w:val="00F559A8"/>
    <w:rsid w:val="00F5680E"/>
    <w:rsid w:val="00F56896"/>
    <w:rsid w:val="00F6561B"/>
    <w:rsid w:val="00F66681"/>
    <w:rsid w:val="00F71F3E"/>
    <w:rsid w:val="00F736A4"/>
    <w:rsid w:val="00F74212"/>
    <w:rsid w:val="00F75E1F"/>
    <w:rsid w:val="00F82922"/>
    <w:rsid w:val="00F8546C"/>
    <w:rsid w:val="00F8647B"/>
    <w:rsid w:val="00F87FDA"/>
    <w:rsid w:val="00F90D8C"/>
    <w:rsid w:val="00F9459C"/>
    <w:rsid w:val="00FA4347"/>
    <w:rsid w:val="00FB005C"/>
    <w:rsid w:val="00FB042E"/>
    <w:rsid w:val="00FB050D"/>
    <w:rsid w:val="00FB294C"/>
    <w:rsid w:val="00FB53CD"/>
    <w:rsid w:val="00FC2283"/>
    <w:rsid w:val="00FC298E"/>
    <w:rsid w:val="00FC32F7"/>
    <w:rsid w:val="00FC3956"/>
    <w:rsid w:val="00FC5516"/>
    <w:rsid w:val="00FC65D8"/>
    <w:rsid w:val="00FD5A07"/>
    <w:rsid w:val="00FD720D"/>
    <w:rsid w:val="00FE0A65"/>
    <w:rsid w:val="00FE171B"/>
    <w:rsid w:val="00FE263C"/>
    <w:rsid w:val="00FE5CD2"/>
    <w:rsid w:val="00FF1710"/>
    <w:rsid w:val="00FF200B"/>
    <w:rsid w:val="00FF20B0"/>
    <w:rsid w:val="00FF373D"/>
    <w:rsid w:val="00FF4F0F"/>
    <w:rsid w:val="00FF64F8"/>
    <w:rsid w:val="014333ED"/>
    <w:rsid w:val="12152F8F"/>
    <w:rsid w:val="19093DFB"/>
    <w:rsid w:val="1E7B776E"/>
    <w:rsid w:val="20F16975"/>
    <w:rsid w:val="2D233EC0"/>
    <w:rsid w:val="2D715FE9"/>
    <w:rsid w:val="35A45FC8"/>
    <w:rsid w:val="3E4051D3"/>
    <w:rsid w:val="3F1F2475"/>
    <w:rsid w:val="4BB21CA1"/>
    <w:rsid w:val="4CE20791"/>
    <w:rsid w:val="504B146F"/>
    <w:rsid w:val="528E1F24"/>
    <w:rsid w:val="54F36B90"/>
    <w:rsid w:val="569577C7"/>
    <w:rsid w:val="57CB47D0"/>
    <w:rsid w:val="5DD36EE1"/>
    <w:rsid w:val="60DB5B95"/>
    <w:rsid w:val="714473EB"/>
    <w:rsid w:val="75B21615"/>
    <w:rsid w:val="7E71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2"/>
    <w:autoRedefine/>
    <w:qFormat/>
    <w:uiPriority w:val="0"/>
    <w:pPr>
      <w:keepNext/>
      <w:keepLines/>
      <w:spacing w:before="260" w:after="260" w:line="415" w:lineRule="auto"/>
      <w:outlineLvl w:val="2"/>
    </w:pPr>
    <w:rPr>
      <w:b/>
      <w:bCs/>
      <w:kern w:val="0"/>
      <w:sz w:val="32"/>
      <w:szCs w:val="32"/>
      <w:lang w:val="zh-CN" w:eastAsia="zh-CN"/>
    </w:rPr>
  </w:style>
  <w:style w:type="paragraph" w:styleId="3">
    <w:name w:val="heading 9"/>
    <w:basedOn w:val="1"/>
    <w:next w:val="1"/>
    <w:link w:val="74"/>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autoRedefine/>
    <w:semiHidden/>
    <w:unhideWhenUsed/>
    <w:qFormat/>
    <w:uiPriority w:val="99"/>
    <w:pPr>
      <w:jc w:val="left"/>
    </w:pPr>
  </w:style>
  <w:style w:type="paragraph" w:styleId="6">
    <w:name w:val="Body Text"/>
    <w:basedOn w:val="1"/>
    <w:link w:val="75"/>
    <w:autoRedefine/>
    <w:semiHidden/>
    <w:unhideWhenUsed/>
    <w:qFormat/>
    <w:uiPriority w:val="99"/>
    <w:pPr>
      <w:spacing w:after="120"/>
    </w:pPr>
  </w:style>
  <w:style w:type="paragraph" w:styleId="7">
    <w:name w:val="Body Text Indent 2"/>
    <w:basedOn w:val="1"/>
    <w:link w:val="30"/>
    <w:autoRedefine/>
    <w:qFormat/>
    <w:uiPriority w:val="0"/>
    <w:pPr>
      <w:tabs>
        <w:tab w:val="left" w:pos="360"/>
      </w:tabs>
      <w:spacing w:line="560" w:lineRule="atLeast"/>
      <w:ind w:left="-105" w:firstLine="465"/>
    </w:pPr>
    <w:rPr>
      <w:rFonts w:ascii="宋体"/>
      <w:sz w:val="28"/>
      <w:lang w:val="zh-CN" w:eastAsia="zh-CN"/>
    </w:rPr>
  </w:style>
  <w:style w:type="paragraph" w:styleId="8">
    <w:name w:val="Balloon Text"/>
    <w:basedOn w:val="1"/>
    <w:link w:val="25"/>
    <w:autoRedefine/>
    <w:qFormat/>
    <w:uiPriority w:val="99"/>
    <w:rPr>
      <w:sz w:val="18"/>
      <w:szCs w:val="18"/>
      <w:lang w:val="zh-CN" w:eastAsia="zh-CN"/>
    </w:rPr>
  </w:style>
  <w:style w:type="paragraph" w:styleId="9">
    <w:name w:val="footer"/>
    <w:basedOn w:val="1"/>
    <w:link w:val="24"/>
    <w:autoRedefine/>
    <w:qFormat/>
    <w:uiPriority w:val="99"/>
    <w:pPr>
      <w:tabs>
        <w:tab w:val="center" w:pos="4153"/>
        <w:tab w:val="right" w:pos="8306"/>
      </w:tabs>
      <w:snapToGrid w:val="0"/>
      <w:jc w:val="left"/>
    </w:pPr>
    <w:rPr>
      <w:kern w:val="0"/>
      <w:sz w:val="18"/>
      <w:szCs w:val="18"/>
      <w:lang w:val="zh-CN" w:eastAsia="zh-CN"/>
    </w:rPr>
  </w:style>
  <w:style w:type="paragraph" w:styleId="10">
    <w:name w:val="header"/>
    <w:basedOn w:val="1"/>
    <w:link w:val="23"/>
    <w:autoRedefine/>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1">
    <w:name w:val="toc 1"/>
    <w:basedOn w:val="1"/>
    <w:next w:val="1"/>
    <w:autoRedefine/>
    <w:qFormat/>
    <w:uiPriority w:val="0"/>
    <w:pPr>
      <w:tabs>
        <w:tab w:val="right" w:leader="middleDot" w:pos="8302"/>
      </w:tabs>
      <w:spacing w:line="360" w:lineRule="auto"/>
    </w:pPr>
  </w:style>
  <w:style w:type="paragraph" w:styleId="12">
    <w:name w:val="Subtitle"/>
    <w:basedOn w:val="1"/>
    <w:next w:val="1"/>
    <w:link w:val="29"/>
    <w:autoRedefine/>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3">
    <w:name w:val="Body Text Indent 3"/>
    <w:basedOn w:val="1"/>
    <w:link w:val="31"/>
    <w:autoRedefine/>
    <w:qFormat/>
    <w:uiPriority w:val="0"/>
    <w:pPr>
      <w:tabs>
        <w:tab w:val="left" w:pos="360"/>
      </w:tabs>
      <w:spacing w:line="560" w:lineRule="exact"/>
      <w:ind w:firstLine="360"/>
    </w:pPr>
    <w:rPr>
      <w:rFonts w:ascii="宋体"/>
      <w:sz w:val="24"/>
      <w:lang w:val="zh-CN" w:eastAsia="zh-CN"/>
    </w:rPr>
  </w:style>
  <w:style w:type="paragraph" w:styleId="14">
    <w:name w:val="Body Text 2"/>
    <w:basedOn w:val="1"/>
    <w:link w:val="69"/>
    <w:autoRedefine/>
    <w:semiHidden/>
    <w:unhideWhenUsed/>
    <w:qFormat/>
    <w:uiPriority w:val="99"/>
    <w:pPr>
      <w:spacing w:after="120" w:line="480" w:lineRule="auto"/>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character" w:styleId="20">
    <w:name w:val="Emphasis"/>
    <w:autoRedefine/>
    <w:qFormat/>
    <w:uiPriority w:val="20"/>
    <w:rPr>
      <w:i/>
      <w:iCs/>
    </w:rPr>
  </w:style>
  <w:style w:type="character" w:styleId="21">
    <w:name w:val="Hyperlink"/>
    <w:autoRedefine/>
    <w:qFormat/>
    <w:uiPriority w:val="0"/>
    <w:rPr>
      <w:rFonts w:hint="default" w:ascii="ˎ̥" w:hAnsi="ˎ̥"/>
      <w:color w:val="3E3E3E"/>
      <w:sz w:val="24"/>
      <w:szCs w:val="24"/>
      <w:u w:val="none"/>
    </w:rPr>
  </w:style>
  <w:style w:type="character" w:customStyle="1" w:styleId="22">
    <w:name w:val="标题 3 Char"/>
    <w:link w:val="2"/>
    <w:autoRedefine/>
    <w:qFormat/>
    <w:uiPriority w:val="0"/>
    <w:rPr>
      <w:rFonts w:ascii="Times New Roman" w:hAnsi="Times New Roman" w:eastAsia="宋体" w:cs="Times New Roman"/>
      <w:b/>
      <w:bCs/>
      <w:sz w:val="32"/>
      <w:szCs w:val="32"/>
    </w:rPr>
  </w:style>
  <w:style w:type="character" w:customStyle="1" w:styleId="23">
    <w:name w:val="页眉 Char"/>
    <w:link w:val="10"/>
    <w:autoRedefine/>
    <w:qFormat/>
    <w:uiPriority w:val="99"/>
    <w:rPr>
      <w:rFonts w:ascii="Times New Roman" w:hAnsi="Times New Roman" w:eastAsia="宋体" w:cs="Times New Roman"/>
      <w:sz w:val="18"/>
      <w:szCs w:val="18"/>
    </w:rPr>
  </w:style>
  <w:style w:type="character" w:customStyle="1" w:styleId="24">
    <w:name w:val="页脚 Char"/>
    <w:link w:val="9"/>
    <w:autoRedefine/>
    <w:qFormat/>
    <w:uiPriority w:val="99"/>
    <w:rPr>
      <w:rFonts w:ascii="Times New Roman" w:hAnsi="Times New Roman" w:eastAsia="宋体" w:cs="Times New Roman"/>
      <w:sz w:val="18"/>
      <w:szCs w:val="18"/>
    </w:rPr>
  </w:style>
  <w:style w:type="character" w:customStyle="1" w:styleId="25">
    <w:name w:val="批注框文本 Char"/>
    <w:link w:val="8"/>
    <w:autoRedefine/>
    <w:qFormat/>
    <w:uiPriority w:val="99"/>
    <w:rPr>
      <w:rFonts w:ascii="Times New Roman" w:hAnsi="Times New Roman"/>
      <w:kern w:val="2"/>
      <w:sz w:val="18"/>
      <w:szCs w:val="18"/>
    </w:rPr>
  </w:style>
  <w:style w:type="paragraph" w:customStyle="1" w:styleId="26">
    <w:name w:val="Char"/>
    <w:basedOn w:val="1"/>
    <w:autoRedefine/>
    <w:qFormat/>
    <w:uiPriority w:val="0"/>
  </w:style>
  <w:style w:type="paragraph" w:customStyle="1" w:styleId="27">
    <w:name w:val="Default"/>
    <w:link w:val="72"/>
    <w:autoRedefine/>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8">
    <w:name w:val="列出段落1"/>
    <w:basedOn w:val="1"/>
    <w:autoRedefine/>
    <w:qFormat/>
    <w:uiPriority w:val="0"/>
    <w:pPr>
      <w:ind w:firstLine="420" w:firstLineChars="200"/>
    </w:pPr>
    <w:rPr>
      <w:rFonts w:ascii="Calibri" w:hAnsi="Calibri" w:cs="黑体"/>
      <w:szCs w:val="22"/>
    </w:rPr>
  </w:style>
  <w:style w:type="character" w:customStyle="1" w:styleId="29">
    <w:name w:val="副标题 Char"/>
    <w:link w:val="12"/>
    <w:autoRedefine/>
    <w:qFormat/>
    <w:uiPriority w:val="11"/>
    <w:rPr>
      <w:rFonts w:ascii="Cambria" w:hAnsi="Cambria" w:cs="Times New Roman"/>
      <w:b/>
      <w:bCs/>
      <w:kern w:val="28"/>
      <w:sz w:val="32"/>
      <w:szCs w:val="32"/>
    </w:rPr>
  </w:style>
  <w:style w:type="character" w:customStyle="1" w:styleId="30">
    <w:name w:val="正文文本缩进 2 Char"/>
    <w:link w:val="7"/>
    <w:autoRedefine/>
    <w:qFormat/>
    <w:uiPriority w:val="0"/>
    <w:rPr>
      <w:rFonts w:ascii="宋体" w:hAnsi="Times New Roman"/>
      <w:kern w:val="2"/>
      <w:sz w:val="28"/>
    </w:rPr>
  </w:style>
  <w:style w:type="character" w:customStyle="1" w:styleId="31">
    <w:name w:val="正文文本缩进 3 Char"/>
    <w:link w:val="13"/>
    <w:autoRedefine/>
    <w:qFormat/>
    <w:uiPriority w:val="0"/>
    <w:rPr>
      <w:rFonts w:ascii="宋体" w:hAnsi="Times New Roman"/>
      <w:kern w:val="2"/>
      <w:sz w:val="24"/>
    </w:rPr>
  </w:style>
  <w:style w:type="paragraph" w:customStyle="1" w:styleId="32">
    <w:name w:val="Char1"/>
    <w:basedOn w:val="1"/>
    <w:autoRedefine/>
    <w:qFormat/>
    <w:uiPriority w:val="0"/>
    <w:pPr>
      <w:tabs>
        <w:tab w:val="left" w:pos="360"/>
      </w:tabs>
    </w:pPr>
    <w:rPr>
      <w:sz w:val="24"/>
      <w:szCs w:val="24"/>
    </w:rPr>
  </w:style>
  <w:style w:type="character" w:customStyle="1" w:styleId="33">
    <w:name w:val="control-label6"/>
    <w:autoRedefine/>
    <w:qFormat/>
    <w:uiPriority w:val="0"/>
    <w:rPr>
      <w:rFonts w:hint="eastAsia" w:ascii="微软雅黑" w:hAnsi="微软雅黑" w:eastAsia="微软雅黑"/>
    </w:rPr>
  </w:style>
  <w:style w:type="character" w:customStyle="1" w:styleId="34">
    <w:name w:val="apple-converted-space"/>
    <w:autoRedefine/>
    <w:qFormat/>
    <w:uiPriority w:val="0"/>
  </w:style>
  <w:style w:type="paragraph" w:styleId="35">
    <w:name w:val="List Paragraph"/>
    <w:basedOn w:val="1"/>
    <w:link w:val="36"/>
    <w:autoRedefine/>
    <w:qFormat/>
    <w:uiPriority w:val="34"/>
    <w:pPr>
      <w:ind w:firstLine="420" w:firstLineChars="200"/>
    </w:pPr>
    <w:rPr>
      <w:szCs w:val="24"/>
      <w:lang w:val="zh-CN" w:eastAsia="zh-CN"/>
    </w:rPr>
  </w:style>
  <w:style w:type="character" w:customStyle="1" w:styleId="36">
    <w:name w:val="列出段落 Char"/>
    <w:link w:val="35"/>
    <w:autoRedefine/>
    <w:qFormat/>
    <w:uiPriority w:val="34"/>
    <w:rPr>
      <w:rFonts w:ascii="Times New Roman" w:hAnsi="Times New Roman"/>
      <w:kern w:val="2"/>
      <w:sz w:val="21"/>
      <w:szCs w:val="24"/>
    </w:rPr>
  </w:style>
  <w:style w:type="paragraph" w:customStyle="1" w:styleId="3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font6"/>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9">
    <w:name w:val="font7"/>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0">
    <w:name w:val="font8"/>
    <w:basedOn w:val="1"/>
    <w:autoRedefine/>
    <w:qFormat/>
    <w:uiPriority w:val="0"/>
    <w:pPr>
      <w:widowControl/>
      <w:spacing w:before="100" w:beforeAutospacing="1" w:after="100" w:afterAutospacing="1"/>
      <w:jc w:val="left"/>
    </w:pPr>
    <w:rPr>
      <w:color w:val="000000"/>
      <w:kern w:val="0"/>
      <w:sz w:val="14"/>
      <w:szCs w:val="14"/>
    </w:rPr>
  </w:style>
  <w:style w:type="paragraph" w:customStyle="1" w:styleId="41">
    <w:name w:val="font9"/>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10"/>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
    <w:name w:val="font11"/>
    <w:basedOn w:val="1"/>
    <w:autoRedefine/>
    <w:qFormat/>
    <w:uiPriority w:val="0"/>
    <w:pPr>
      <w:widowControl/>
      <w:spacing w:before="100" w:beforeAutospacing="1" w:after="100" w:afterAutospacing="1"/>
      <w:jc w:val="left"/>
    </w:pPr>
    <w:rPr>
      <w:color w:val="000000"/>
      <w:kern w:val="0"/>
      <w:sz w:val="22"/>
      <w:szCs w:val="22"/>
    </w:rPr>
  </w:style>
  <w:style w:type="paragraph" w:customStyle="1" w:styleId="44">
    <w:name w:val="xl65"/>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4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6">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7">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59">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3">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4">
    <w:name w:val="xl8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5">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正文文本 2 Char"/>
    <w:basedOn w:val="18"/>
    <w:link w:val="14"/>
    <w:autoRedefine/>
    <w:semiHidden/>
    <w:qFormat/>
    <w:uiPriority w:val="99"/>
    <w:rPr>
      <w:rFonts w:ascii="Times New Roman" w:hAnsi="Times New Roman"/>
      <w:kern w:val="2"/>
      <w:sz w:val="21"/>
    </w:rPr>
  </w:style>
  <w:style w:type="character" w:customStyle="1" w:styleId="70">
    <w:name w:val="numtype"/>
    <w:basedOn w:val="18"/>
    <w:autoRedefine/>
    <w:qFormat/>
    <w:uiPriority w:val="0"/>
  </w:style>
  <w:style w:type="paragraph" w:customStyle="1" w:styleId="71">
    <w:name w:val="Char2"/>
    <w:basedOn w:val="1"/>
    <w:autoRedefine/>
    <w:qFormat/>
    <w:uiPriority w:val="0"/>
    <w:pPr>
      <w:tabs>
        <w:tab w:val="left" w:pos="360"/>
      </w:tabs>
    </w:pPr>
    <w:rPr>
      <w:sz w:val="24"/>
      <w:szCs w:val="24"/>
    </w:rPr>
  </w:style>
  <w:style w:type="character" w:customStyle="1" w:styleId="72">
    <w:name w:val="Default Char"/>
    <w:link w:val="27"/>
    <w:autoRedefine/>
    <w:qFormat/>
    <w:locked/>
    <w:uiPriority w:val="0"/>
    <w:rPr>
      <w:rFonts w:ascii="......." w:hAnsi="......." w:eastAsia="......." w:cs="......."/>
      <w:color w:val="000000"/>
      <w:sz w:val="24"/>
      <w:szCs w:val="24"/>
    </w:rPr>
  </w:style>
  <w:style w:type="character" w:customStyle="1" w:styleId="73">
    <w:name w:val="NormalCharacter"/>
    <w:autoRedefine/>
    <w:qFormat/>
    <w:uiPriority w:val="0"/>
  </w:style>
  <w:style w:type="character" w:customStyle="1" w:styleId="74">
    <w:name w:val="标题 9 Char"/>
    <w:basedOn w:val="18"/>
    <w:link w:val="3"/>
    <w:autoRedefine/>
    <w:qFormat/>
    <w:uiPriority w:val="0"/>
    <w:rPr>
      <w:rFonts w:asciiTheme="majorHAnsi" w:hAnsiTheme="majorHAnsi" w:eastAsiaTheme="majorEastAsia" w:cstheme="majorBidi"/>
      <w:kern w:val="2"/>
      <w:sz w:val="21"/>
      <w:szCs w:val="21"/>
    </w:rPr>
  </w:style>
  <w:style w:type="character" w:customStyle="1" w:styleId="75">
    <w:name w:val="正文文本 Char"/>
    <w:basedOn w:val="18"/>
    <w:link w:val="6"/>
    <w:autoRedefine/>
    <w:semiHidden/>
    <w:qFormat/>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8C4CF-5C0F-4D0E-83C4-3D042B15B065}">
  <ds:schemaRefs/>
</ds:datastoreItem>
</file>

<file path=docProps/app.xml><?xml version="1.0" encoding="utf-8"?>
<Properties xmlns="http://schemas.openxmlformats.org/officeDocument/2006/extended-properties" xmlns:vt="http://schemas.openxmlformats.org/officeDocument/2006/docPropsVTypes">
  <Template>Normal.dotm</Template>
  <Pages>70</Pages>
  <Words>5181</Words>
  <Characters>29537</Characters>
  <Lines>246</Lines>
  <Paragraphs>69</Paragraphs>
  <TotalTime>0</TotalTime>
  <ScaleCrop>false</ScaleCrop>
  <LinksUpToDate>false</LinksUpToDate>
  <CharactersWithSpaces>34649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2024-02-18T02:17:00Z</dcterms:created>
  <dc:creator>未定义</dc:creator>
  <cp:lastModifiedBy>WPS_1636026673</cp:lastModifiedBy>
  <cp:lastPrinted>2015-08-04T03:01:00Z</cp:lastPrinted>
  <dcterms:modified xsi:type="dcterms:W3CDTF">2024-02-27T09:22:18Z</dcterms:modified>
  <dc:title>2015年天津市政府债券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9E3064B9DF864334A5460EB5EF13BC8A_12</vt:lpwstr>
  </property>
</Properties>
</file>